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9B6CB" w14:textId="6085DF05" w:rsidR="00936AA7" w:rsidRPr="007A4D6E" w:rsidRDefault="00DC1861" w:rsidP="005F74A2">
      <w:pPr>
        <w:autoSpaceDE w:val="0"/>
        <w:autoSpaceDN w:val="0"/>
        <w:adjustRightInd w:val="0"/>
        <w:spacing w:line="480" w:lineRule="auto"/>
        <w:jc w:val="center"/>
        <w:rPr>
          <w:b/>
          <w:bCs/>
          <w:sz w:val="56"/>
          <w:szCs w:val="56"/>
        </w:rPr>
      </w:pPr>
      <w:r>
        <w:rPr>
          <w:b/>
          <w:bCs/>
          <w:sz w:val="56"/>
          <w:szCs w:val="56"/>
        </w:rPr>
        <w:t>HERVIRAX</w:t>
      </w:r>
    </w:p>
    <w:p w14:paraId="23F4FAA1" w14:textId="77777777" w:rsidR="00936AA7" w:rsidRDefault="00936AA7" w:rsidP="00DC1861">
      <w:pPr>
        <w:autoSpaceDE w:val="0"/>
        <w:autoSpaceDN w:val="0"/>
        <w:adjustRightInd w:val="0"/>
        <w:spacing w:line="480" w:lineRule="auto"/>
        <w:jc w:val="center"/>
        <w:rPr>
          <w:bCs/>
          <w:sz w:val="40"/>
          <w:szCs w:val="40"/>
        </w:rPr>
      </w:pPr>
      <w:r w:rsidRPr="007A4D6E">
        <w:rPr>
          <w:bCs/>
          <w:sz w:val="40"/>
          <w:szCs w:val="40"/>
        </w:rPr>
        <w:t>P</w:t>
      </w:r>
      <w:r>
        <w:rPr>
          <w:bCs/>
          <w:sz w:val="40"/>
          <w:szCs w:val="40"/>
        </w:rPr>
        <w:t>harlab Indústria Farmacêutica S.</w:t>
      </w:r>
      <w:r w:rsidRPr="007A4D6E">
        <w:rPr>
          <w:bCs/>
          <w:sz w:val="40"/>
          <w:szCs w:val="40"/>
        </w:rPr>
        <w:t>A</w:t>
      </w:r>
      <w:r>
        <w:rPr>
          <w:bCs/>
          <w:sz w:val="40"/>
          <w:szCs w:val="40"/>
        </w:rPr>
        <w:t>.</w:t>
      </w:r>
    </w:p>
    <w:p w14:paraId="11F90AEA" w14:textId="77777777" w:rsidR="00936AA7" w:rsidRDefault="00936AA7" w:rsidP="00DC1861">
      <w:pPr>
        <w:autoSpaceDE w:val="0"/>
        <w:autoSpaceDN w:val="0"/>
        <w:adjustRightInd w:val="0"/>
        <w:spacing w:line="480" w:lineRule="auto"/>
        <w:jc w:val="center"/>
        <w:rPr>
          <w:bCs/>
          <w:sz w:val="40"/>
          <w:szCs w:val="40"/>
        </w:rPr>
      </w:pPr>
      <w:r>
        <w:rPr>
          <w:bCs/>
          <w:sz w:val="40"/>
          <w:szCs w:val="40"/>
        </w:rPr>
        <w:t>Comprimidos</w:t>
      </w:r>
    </w:p>
    <w:p w14:paraId="04C98EB3" w14:textId="77777777" w:rsidR="00936AA7" w:rsidRDefault="00936AA7" w:rsidP="00DC1861">
      <w:pPr>
        <w:autoSpaceDE w:val="0"/>
        <w:autoSpaceDN w:val="0"/>
        <w:adjustRightInd w:val="0"/>
        <w:spacing w:line="480" w:lineRule="auto"/>
        <w:jc w:val="center"/>
        <w:rPr>
          <w:bCs/>
          <w:sz w:val="40"/>
          <w:szCs w:val="40"/>
        </w:rPr>
      </w:pPr>
      <w:r>
        <w:rPr>
          <w:bCs/>
          <w:sz w:val="40"/>
          <w:szCs w:val="40"/>
        </w:rPr>
        <w:t>200</w:t>
      </w:r>
      <w:r w:rsidRPr="007A4D6E">
        <w:rPr>
          <w:bCs/>
          <w:sz w:val="40"/>
          <w:szCs w:val="40"/>
        </w:rPr>
        <w:t xml:space="preserve"> mg</w:t>
      </w:r>
    </w:p>
    <w:p w14:paraId="43742C17" w14:textId="77777777" w:rsidR="00936AA7" w:rsidRDefault="00936AA7" w:rsidP="00936AA7">
      <w:pPr>
        <w:autoSpaceDE w:val="0"/>
        <w:autoSpaceDN w:val="0"/>
        <w:adjustRightInd w:val="0"/>
        <w:spacing w:line="280" w:lineRule="atLeast"/>
        <w:jc w:val="center"/>
        <w:rPr>
          <w:b/>
          <w:bCs/>
          <w:sz w:val="44"/>
          <w:szCs w:val="44"/>
        </w:rPr>
      </w:pPr>
    </w:p>
    <w:p w14:paraId="5ACC37A2" w14:textId="77777777" w:rsidR="00936AA7" w:rsidRDefault="00936AA7" w:rsidP="00936AA7">
      <w:pPr>
        <w:spacing w:line="280" w:lineRule="atLeast"/>
        <w:rPr>
          <w:b/>
          <w:bCs/>
          <w:sz w:val="44"/>
          <w:szCs w:val="44"/>
        </w:rPr>
        <w:sectPr w:rsidR="00936AA7" w:rsidSect="00DC1861">
          <w:headerReference w:type="default" r:id="rId7"/>
          <w:footerReference w:type="default" r:id="rId8"/>
          <w:footerReference w:type="first" r:id="rId9"/>
          <w:pgSz w:w="11906" w:h="16838"/>
          <w:pgMar w:top="1418" w:right="1701" w:bottom="1418" w:left="1701" w:header="709" w:footer="709" w:gutter="0"/>
          <w:cols w:space="708"/>
          <w:vAlign w:val="center"/>
          <w:docGrid w:linePitch="360"/>
        </w:sectPr>
      </w:pPr>
    </w:p>
    <w:p w14:paraId="677F346A" w14:textId="77777777" w:rsidR="00936AA7" w:rsidRPr="00B732D5" w:rsidRDefault="00936AA7" w:rsidP="00936AA7">
      <w:pPr>
        <w:autoSpaceDE w:val="0"/>
        <w:autoSpaceDN w:val="0"/>
        <w:adjustRightInd w:val="0"/>
        <w:spacing w:line="280" w:lineRule="atLeast"/>
        <w:jc w:val="both"/>
        <w:rPr>
          <w:b/>
          <w:bCs/>
          <w:sz w:val="20"/>
          <w:szCs w:val="20"/>
        </w:rPr>
      </w:pPr>
      <w:r w:rsidRPr="00B732D5">
        <w:rPr>
          <w:b/>
          <w:bCs/>
          <w:sz w:val="20"/>
          <w:szCs w:val="20"/>
        </w:rPr>
        <w:lastRenderedPageBreak/>
        <w:t>IDENTIFICAÇÃO DO MEDICAMENTO</w:t>
      </w:r>
    </w:p>
    <w:p w14:paraId="160ABC4C" w14:textId="77777777" w:rsidR="00936AA7" w:rsidRPr="00B732D5" w:rsidRDefault="00936AA7" w:rsidP="00936AA7">
      <w:pPr>
        <w:pStyle w:val="Default"/>
        <w:spacing w:line="280" w:lineRule="atLeast"/>
        <w:jc w:val="both"/>
        <w:rPr>
          <w:b/>
          <w:bCs/>
          <w:sz w:val="20"/>
          <w:szCs w:val="20"/>
        </w:rPr>
      </w:pPr>
    </w:p>
    <w:p w14:paraId="34E677C4" w14:textId="77777777" w:rsidR="00936AA7" w:rsidRPr="00B732D5" w:rsidRDefault="00936AA7" w:rsidP="00936AA7">
      <w:pPr>
        <w:pStyle w:val="Default"/>
        <w:spacing w:line="280" w:lineRule="atLeast"/>
        <w:jc w:val="both"/>
        <w:rPr>
          <w:b/>
          <w:bCs/>
          <w:sz w:val="20"/>
          <w:szCs w:val="20"/>
        </w:rPr>
      </w:pPr>
      <w:r w:rsidRPr="00B732D5">
        <w:rPr>
          <w:b/>
          <w:bCs/>
          <w:sz w:val="20"/>
          <w:szCs w:val="20"/>
        </w:rPr>
        <w:t>HERVIRAX</w:t>
      </w:r>
      <w:r>
        <w:rPr>
          <w:b/>
          <w:bCs/>
          <w:sz w:val="20"/>
          <w:szCs w:val="20"/>
        </w:rPr>
        <w:t xml:space="preserve"> COMPRIMIDO</w:t>
      </w:r>
    </w:p>
    <w:p w14:paraId="088D70F9" w14:textId="77777777" w:rsidR="00936AA7" w:rsidRPr="00B732D5" w:rsidRDefault="00936AA7" w:rsidP="00936AA7">
      <w:pPr>
        <w:autoSpaceDE w:val="0"/>
        <w:autoSpaceDN w:val="0"/>
        <w:adjustRightInd w:val="0"/>
        <w:spacing w:line="280" w:lineRule="atLeast"/>
        <w:jc w:val="both"/>
        <w:rPr>
          <w:bCs/>
          <w:sz w:val="20"/>
          <w:szCs w:val="20"/>
        </w:rPr>
      </w:pPr>
      <w:r w:rsidRPr="00B732D5">
        <w:rPr>
          <w:bCs/>
          <w:sz w:val="20"/>
          <w:szCs w:val="20"/>
        </w:rPr>
        <w:t>aciclovir</w:t>
      </w:r>
    </w:p>
    <w:p w14:paraId="3533C0F9" w14:textId="77777777" w:rsidR="00936AA7" w:rsidRPr="00B732D5" w:rsidRDefault="00936AA7" w:rsidP="00936AA7">
      <w:pPr>
        <w:autoSpaceDE w:val="0"/>
        <w:autoSpaceDN w:val="0"/>
        <w:adjustRightInd w:val="0"/>
        <w:spacing w:line="280" w:lineRule="atLeast"/>
        <w:jc w:val="both"/>
        <w:rPr>
          <w:b/>
          <w:bCs/>
          <w:sz w:val="20"/>
          <w:szCs w:val="20"/>
        </w:rPr>
      </w:pPr>
    </w:p>
    <w:p w14:paraId="1D7ED2FF" w14:textId="77777777" w:rsidR="00936AA7" w:rsidRPr="00B732D5" w:rsidRDefault="00936AA7" w:rsidP="00936AA7">
      <w:pPr>
        <w:autoSpaceDE w:val="0"/>
        <w:autoSpaceDN w:val="0"/>
        <w:adjustRightInd w:val="0"/>
        <w:spacing w:line="280" w:lineRule="atLeast"/>
        <w:jc w:val="both"/>
        <w:rPr>
          <w:b/>
          <w:bCs/>
          <w:sz w:val="20"/>
          <w:szCs w:val="20"/>
        </w:rPr>
      </w:pPr>
      <w:r w:rsidRPr="00B732D5">
        <w:rPr>
          <w:b/>
          <w:sz w:val="20"/>
          <w:szCs w:val="20"/>
        </w:rPr>
        <w:t>MEDICAMENTO SIMILAR EQUIVALENTE AO MEDICAMENTO DE REFERÊNCIA</w:t>
      </w:r>
    </w:p>
    <w:p w14:paraId="25713F81" w14:textId="77777777" w:rsidR="00936AA7" w:rsidRPr="007B2AD5" w:rsidRDefault="00936AA7" w:rsidP="00936AA7">
      <w:pPr>
        <w:autoSpaceDE w:val="0"/>
        <w:autoSpaceDN w:val="0"/>
        <w:adjustRightInd w:val="0"/>
        <w:spacing w:line="280" w:lineRule="atLeast"/>
        <w:jc w:val="both"/>
        <w:rPr>
          <w:b/>
          <w:bCs/>
          <w:sz w:val="20"/>
          <w:szCs w:val="20"/>
        </w:rPr>
      </w:pPr>
    </w:p>
    <w:p w14:paraId="049DFA8E" w14:textId="77777777" w:rsidR="00936AA7" w:rsidRPr="007B2AD5" w:rsidRDefault="00936AA7" w:rsidP="00936AA7">
      <w:pPr>
        <w:autoSpaceDE w:val="0"/>
        <w:autoSpaceDN w:val="0"/>
        <w:adjustRightInd w:val="0"/>
        <w:spacing w:line="280" w:lineRule="atLeast"/>
        <w:jc w:val="both"/>
        <w:rPr>
          <w:b/>
          <w:bCs/>
          <w:sz w:val="20"/>
          <w:szCs w:val="20"/>
        </w:rPr>
      </w:pPr>
      <w:r w:rsidRPr="007B2AD5">
        <w:rPr>
          <w:b/>
          <w:bCs/>
          <w:sz w:val="20"/>
          <w:szCs w:val="20"/>
        </w:rPr>
        <w:t>APRESENTAÇÕES</w:t>
      </w:r>
    </w:p>
    <w:p w14:paraId="3BA1C006" w14:textId="404C3DF3" w:rsidR="00936AA7" w:rsidRPr="007B2AD5" w:rsidRDefault="00936AA7" w:rsidP="00936AA7">
      <w:pPr>
        <w:pStyle w:val="Default"/>
        <w:spacing w:line="280" w:lineRule="atLeast"/>
        <w:jc w:val="both"/>
        <w:rPr>
          <w:sz w:val="20"/>
          <w:szCs w:val="20"/>
        </w:rPr>
      </w:pPr>
      <w:r w:rsidRPr="008E4C0C">
        <w:rPr>
          <w:bCs/>
          <w:sz w:val="20"/>
          <w:szCs w:val="20"/>
        </w:rPr>
        <w:t>HERVIRAX</w:t>
      </w:r>
      <w:r>
        <w:rPr>
          <w:bCs/>
          <w:sz w:val="20"/>
          <w:szCs w:val="20"/>
        </w:rPr>
        <w:t xml:space="preserve"> </w:t>
      </w:r>
      <w:r w:rsidRPr="007B2AD5">
        <w:rPr>
          <w:sz w:val="20"/>
          <w:szCs w:val="20"/>
        </w:rPr>
        <w:t xml:space="preserve">200 mg é apresentado em embalagens contendo </w:t>
      </w:r>
      <w:r w:rsidR="00DC1861">
        <w:rPr>
          <w:sz w:val="20"/>
          <w:szCs w:val="20"/>
        </w:rPr>
        <w:t>25</w:t>
      </w:r>
      <w:r w:rsidR="006547DB">
        <w:rPr>
          <w:sz w:val="20"/>
          <w:szCs w:val="20"/>
        </w:rPr>
        <w:t xml:space="preserve">, 30 </w:t>
      </w:r>
      <w:r w:rsidR="00DC1861">
        <w:rPr>
          <w:sz w:val="20"/>
          <w:szCs w:val="20"/>
        </w:rPr>
        <w:t>ou</w:t>
      </w:r>
      <w:r>
        <w:rPr>
          <w:sz w:val="20"/>
          <w:szCs w:val="20"/>
        </w:rPr>
        <w:t xml:space="preserve"> </w:t>
      </w:r>
      <w:r w:rsidRPr="007B2AD5">
        <w:rPr>
          <w:sz w:val="20"/>
          <w:szCs w:val="20"/>
        </w:rPr>
        <w:t xml:space="preserve">500 comprimidos. </w:t>
      </w:r>
    </w:p>
    <w:p w14:paraId="475086FD" w14:textId="77777777" w:rsidR="00936AA7" w:rsidRPr="007B2AD5" w:rsidRDefault="00936AA7" w:rsidP="00936AA7">
      <w:pPr>
        <w:pStyle w:val="Default"/>
        <w:spacing w:line="280" w:lineRule="atLeast"/>
        <w:jc w:val="both"/>
        <w:rPr>
          <w:b/>
          <w:bCs/>
          <w:sz w:val="20"/>
          <w:szCs w:val="20"/>
        </w:rPr>
      </w:pPr>
    </w:p>
    <w:p w14:paraId="77576575" w14:textId="77777777" w:rsidR="00936AA7" w:rsidRPr="007B2AD5" w:rsidRDefault="00936AA7" w:rsidP="00936AA7">
      <w:pPr>
        <w:pStyle w:val="Default"/>
        <w:spacing w:line="280" w:lineRule="atLeast"/>
        <w:jc w:val="both"/>
        <w:rPr>
          <w:sz w:val="20"/>
          <w:szCs w:val="20"/>
        </w:rPr>
      </w:pPr>
      <w:r w:rsidRPr="007B2AD5">
        <w:rPr>
          <w:b/>
          <w:bCs/>
          <w:sz w:val="20"/>
          <w:szCs w:val="20"/>
        </w:rPr>
        <w:t xml:space="preserve">USO ORAL </w:t>
      </w:r>
    </w:p>
    <w:p w14:paraId="6EDC39A1" w14:textId="77777777" w:rsidR="00936AA7" w:rsidRPr="007B2AD5" w:rsidRDefault="00936AA7" w:rsidP="00936AA7">
      <w:pPr>
        <w:pStyle w:val="Default"/>
        <w:spacing w:line="280" w:lineRule="atLeast"/>
        <w:jc w:val="both"/>
        <w:rPr>
          <w:sz w:val="20"/>
          <w:szCs w:val="20"/>
        </w:rPr>
      </w:pPr>
      <w:r w:rsidRPr="007B2AD5">
        <w:rPr>
          <w:b/>
          <w:bCs/>
          <w:sz w:val="20"/>
          <w:szCs w:val="20"/>
        </w:rPr>
        <w:t xml:space="preserve">USO ADULTO E PEDIÁTRICO ACIMA DE </w:t>
      </w:r>
      <w:r>
        <w:rPr>
          <w:b/>
          <w:bCs/>
          <w:sz w:val="20"/>
          <w:szCs w:val="20"/>
        </w:rPr>
        <w:t>6</w:t>
      </w:r>
      <w:r w:rsidRPr="007B2AD5">
        <w:rPr>
          <w:b/>
          <w:bCs/>
          <w:sz w:val="20"/>
          <w:szCs w:val="20"/>
        </w:rPr>
        <w:t xml:space="preserve"> ANOS</w:t>
      </w:r>
    </w:p>
    <w:p w14:paraId="119BC6B5" w14:textId="77777777" w:rsidR="00936AA7" w:rsidRPr="007B2AD5" w:rsidRDefault="00936AA7" w:rsidP="00936AA7">
      <w:pPr>
        <w:pStyle w:val="Default"/>
        <w:spacing w:line="280" w:lineRule="atLeast"/>
        <w:jc w:val="both"/>
        <w:rPr>
          <w:b/>
          <w:bCs/>
          <w:sz w:val="20"/>
          <w:szCs w:val="20"/>
        </w:rPr>
      </w:pPr>
    </w:p>
    <w:p w14:paraId="2022D2EA" w14:textId="77777777" w:rsidR="00936AA7" w:rsidRDefault="00936AA7" w:rsidP="00936AA7">
      <w:pPr>
        <w:pStyle w:val="Default"/>
        <w:spacing w:line="280" w:lineRule="atLeast"/>
        <w:jc w:val="both"/>
        <w:rPr>
          <w:b/>
          <w:bCs/>
          <w:sz w:val="20"/>
          <w:szCs w:val="20"/>
        </w:rPr>
      </w:pPr>
      <w:r w:rsidRPr="007B2AD5">
        <w:rPr>
          <w:b/>
          <w:bCs/>
          <w:sz w:val="20"/>
          <w:szCs w:val="20"/>
        </w:rPr>
        <w:t xml:space="preserve">COMPOSIÇÃO </w:t>
      </w:r>
    </w:p>
    <w:p w14:paraId="73022795" w14:textId="77777777" w:rsidR="00936AA7" w:rsidRDefault="00936AA7" w:rsidP="00936AA7">
      <w:pPr>
        <w:pStyle w:val="Default"/>
        <w:spacing w:line="280" w:lineRule="atLeast"/>
        <w:jc w:val="both"/>
        <w:rPr>
          <w:sz w:val="20"/>
          <w:szCs w:val="20"/>
        </w:rPr>
      </w:pPr>
      <w:r w:rsidRPr="00B732D5">
        <w:rPr>
          <w:sz w:val="20"/>
          <w:szCs w:val="20"/>
        </w:rPr>
        <w:t>Cada comprimido contém</w:t>
      </w:r>
      <w:r>
        <w:rPr>
          <w:sz w:val="20"/>
          <w:szCs w:val="20"/>
        </w:rPr>
        <w:t>:</w:t>
      </w:r>
    </w:p>
    <w:p w14:paraId="34B57165" w14:textId="77777777" w:rsidR="00936AA7" w:rsidRPr="00B732D5" w:rsidRDefault="00936AA7" w:rsidP="00936AA7">
      <w:pPr>
        <w:pStyle w:val="Default"/>
        <w:spacing w:line="280" w:lineRule="atLeast"/>
        <w:jc w:val="both"/>
        <w:rPr>
          <w:sz w:val="20"/>
          <w:szCs w:val="20"/>
        </w:rPr>
      </w:pPr>
      <w:r>
        <w:rPr>
          <w:sz w:val="20"/>
          <w:szCs w:val="20"/>
        </w:rPr>
        <w:t>aciclovir.............................................................................................................................................. 200 mg</w:t>
      </w:r>
    </w:p>
    <w:p w14:paraId="2FCC09AE" w14:textId="77777777" w:rsidR="00936AA7" w:rsidRDefault="00936AA7" w:rsidP="00936AA7">
      <w:pPr>
        <w:autoSpaceDE w:val="0"/>
        <w:autoSpaceDN w:val="0"/>
        <w:adjustRightInd w:val="0"/>
        <w:spacing w:line="280" w:lineRule="atLeast"/>
        <w:jc w:val="both"/>
        <w:rPr>
          <w:sz w:val="20"/>
          <w:szCs w:val="20"/>
        </w:rPr>
      </w:pPr>
      <w:r>
        <w:rPr>
          <w:sz w:val="20"/>
          <w:szCs w:val="20"/>
        </w:rPr>
        <w:t>Excipientes q.s.p........................................................................................................................1 comprimido</w:t>
      </w:r>
    </w:p>
    <w:p w14:paraId="419C37D2" w14:textId="77777777" w:rsidR="00936AA7" w:rsidRPr="00B732D5" w:rsidRDefault="00936AA7" w:rsidP="00936AA7">
      <w:pPr>
        <w:autoSpaceDE w:val="0"/>
        <w:autoSpaceDN w:val="0"/>
        <w:adjustRightInd w:val="0"/>
        <w:spacing w:line="280" w:lineRule="atLeast"/>
        <w:jc w:val="both"/>
        <w:rPr>
          <w:sz w:val="20"/>
          <w:szCs w:val="20"/>
        </w:rPr>
      </w:pPr>
      <w:r>
        <w:rPr>
          <w:sz w:val="20"/>
          <w:szCs w:val="20"/>
        </w:rPr>
        <w:t>(</w:t>
      </w:r>
      <w:r w:rsidRPr="00B732D5">
        <w:rPr>
          <w:sz w:val="20"/>
          <w:szCs w:val="20"/>
        </w:rPr>
        <w:t>celulose microcristalina, amidoglicolato de sódio, estearato de magnésio, povidona e dióxido de silício</w:t>
      </w:r>
      <w:r>
        <w:rPr>
          <w:sz w:val="20"/>
          <w:szCs w:val="20"/>
        </w:rPr>
        <w:t>)</w:t>
      </w:r>
      <w:r w:rsidRPr="00B732D5">
        <w:rPr>
          <w:sz w:val="20"/>
          <w:szCs w:val="20"/>
        </w:rPr>
        <w:t>.</w:t>
      </w:r>
    </w:p>
    <w:p w14:paraId="21164470" w14:textId="77777777" w:rsidR="00936AA7" w:rsidRPr="00853722" w:rsidRDefault="00936AA7" w:rsidP="00936AA7">
      <w:pPr>
        <w:pStyle w:val="Default"/>
        <w:spacing w:line="280" w:lineRule="atLeast"/>
        <w:jc w:val="both"/>
        <w:rPr>
          <w:b/>
          <w:bCs/>
          <w:sz w:val="20"/>
          <w:szCs w:val="20"/>
        </w:rPr>
      </w:pPr>
    </w:p>
    <w:p w14:paraId="6E4C4BA9" w14:textId="77777777" w:rsidR="00936AA7" w:rsidRPr="00853722" w:rsidRDefault="00936AA7" w:rsidP="00936AA7">
      <w:pPr>
        <w:pStyle w:val="Default"/>
        <w:spacing w:line="280" w:lineRule="atLeast"/>
        <w:jc w:val="both"/>
        <w:rPr>
          <w:b/>
          <w:bCs/>
          <w:sz w:val="20"/>
          <w:szCs w:val="20"/>
        </w:rPr>
      </w:pPr>
      <w:r w:rsidRPr="00853722">
        <w:rPr>
          <w:b/>
          <w:bCs/>
          <w:sz w:val="20"/>
          <w:szCs w:val="20"/>
        </w:rPr>
        <w:t>INFORMAÇÕES TÉCNICAS AOS PROFISSIONAIS DE SAÚDE</w:t>
      </w:r>
    </w:p>
    <w:p w14:paraId="7FFF7D77" w14:textId="77777777" w:rsidR="00936AA7" w:rsidRPr="00853722" w:rsidRDefault="00936AA7" w:rsidP="00936AA7">
      <w:pPr>
        <w:pStyle w:val="Default"/>
        <w:spacing w:line="280" w:lineRule="atLeast"/>
        <w:jc w:val="both"/>
        <w:rPr>
          <w:b/>
          <w:bCs/>
          <w:sz w:val="20"/>
          <w:szCs w:val="20"/>
        </w:rPr>
      </w:pPr>
    </w:p>
    <w:p w14:paraId="077D2DCD" w14:textId="77777777" w:rsidR="00936AA7" w:rsidRPr="00853722" w:rsidRDefault="00936AA7" w:rsidP="00936AA7">
      <w:pPr>
        <w:pStyle w:val="Default"/>
        <w:spacing w:line="280" w:lineRule="atLeast"/>
        <w:jc w:val="both"/>
        <w:rPr>
          <w:sz w:val="20"/>
          <w:szCs w:val="20"/>
        </w:rPr>
      </w:pPr>
      <w:r w:rsidRPr="00853722">
        <w:rPr>
          <w:b/>
          <w:bCs/>
          <w:sz w:val="20"/>
          <w:szCs w:val="20"/>
        </w:rPr>
        <w:t xml:space="preserve">1. INDICAÇÕES </w:t>
      </w:r>
    </w:p>
    <w:p w14:paraId="6852D6C7" w14:textId="77777777" w:rsidR="00936AA7" w:rsidRPr="00853722" w:rsidRDefault="00936AA7" w:rsidP="00936AA7">
      <w:pPr>
        <w:pStyle w:val="Default"/>
        <w:spacing w:line="280" w:lineRule="atLeast"/>
        <w:jc w:val="both"/>
        <w:rPr>
          <w:sz w:val="20"/>
          <w:szCs w:val="20"/>
        </w:rPr>
      </w:pPr>
      <w:r w:rsidRPr="00853722">
        <w:rPr>
          <w:bCs/>
          <w:sz w:val="20"/>
          <w:szCs w:val="20"/>
        </w:rPr>
        <w:t xml:space="preserve">HERVIRAX </w:t>
      </w:r>
      <w:r w:rsidRPr="00853722">
        <w:rPr>
          <w:sz w:val="20"/>
          <w:szCs w:val="20"/>
        </w:rPr>
        <w:t xml:space="preserve">é usado no tratamento de infecções pelo vírus </w:t>
      </w:r>
      <w:r w:rsidRPr="00853722">
        <w:rPr>
          <w:i/>
          <w:iCs/>
          <w:sz w:val="20"/>
          <w:szCs w:val="20"/>
        </w:rPr>
        <w:t xml:space="preserve">Herpes simplex </w:t>
      </w:r>
      <w:r w:rsidRPr="00853722">
        <w:rPr>
          <w:sz w:val="20"/>
          <w:szCs w:val="20"/>
        </w:rPr>
        <w:t xml:space="preserve">na pele e nas mucosas, incluindo herpes genital inicial e recorrente. </w:t>
      </w:r>
    </w:p>
    <w:p w14:paraId="4D06912B" w14:textId="77777777" w:rsidR="00936AA7" w:rsidRPr="00853722" w:rsidRDefault="00936AA7" w:rsidP="00936AA7">
      <w:pPr>
        <w:pStyle w:val="Default"/>
        <w:spacing w:line="280" w:lineRule="atLeast"/>
        <w:jc w:val="both"/>
        <w:rPr>
          <w:sz w:val="20"/>
          <w:szCs w:val="20"/>
        </w:rPr>
      </w:pPr>
      <w:r w:rsidRPr="00853722">
        <w:rPr>
          <w:sz w:val="20"/>
          <w:szCs w:val="20"/>
        </w:rPr>
        <w:t xml:space="preserve">É indicado também na supressão (prevenção de recidivas) de infecções recorrentes por </w:t>
      </w:r>
      <w:r w:rsidRPr="00853722">
        <w:rPr>
          <w:i/>
          <w:iCs/>
          <w:sz w:val="20"/>
          <w:szCs w:val="20"/>
        </w:rPr>
        <w:t xml:space="preserve">Herpes simplex </w:t>
      </w:r>
      <w:r w:rsidRPr="00853722">
        <w:rPr>
          <w:sz w:val="20"/>
          <w:szCs w:val="20"/>
        </w:rPr>
        <w:t xml:space="preserve">em pacientes imunocompetentes e na profilaxia de infecções por </w:t>
      </w:r>
      <w:r w:rsidRPr="00853722">
        <w:rPr>
          <w:i/>
          <w:iCs/>
          <w:sz w:val="20"/>
          <w:szCs w:val="20"/>
        </w:rPr>
        <w:t xml:space="preserve">Herpes simplex </w:t>
      </w:r>
      <w:r w:rsidRPr="00853722">
        <w:rPr>
          <w:sz w:val="20"/>
          <w:szCs w:val="20"/>
        </w:rPr>
        <w:t xml:space="preserve">em pacientes imunocomprometidos. </w:t>
      </w:r>
      <w:r w:rsidRPr="00853722">
        <w:rPr>
          <w:bCs/>
          <w:sz w:val="20"/>
          <w:szCs w:val="20"/>
        </w:rPr>
        <w:t>HERVIRAX</w:t>
      </w:r>
      <w:r w:rsidRPr="00853722">
        <w:rPr>
          <w:b/>
          <w:bCs/>
          <w:sz w:val="20"/>
          <w:szCs w:val="20"/>
        </w:rPr>
        <w:t xml:space="preserve"> </w:t>
      </w:r>
      <w:r w:rsidRPr="00853722">
        <w:rPr>
          <w:sz w:val="20"/>
          <w:szCs w:val="20"/>
        </w:rPr>
        <w:t xml:space="preserve">é usado, ainda, no tratamento de infecções de Herpes zoster. Estudos têm demonstrado que o tratamento precoce de Herpes zoster com </w:t>
      </w:r>
      <w:r>
        <w:rPr>
          <w:bCs/>
          <w:sz w:val="20"/>
          <w:szCs w:val="20"/>
        </w:rPr>
        <w:t>aciclovir</w:t>
      </w:r>
      <w:r w:rsidRPr="00853722">
        <w:rPr>
          <w:b/>
          <w:bCs/>
          <w:sz w:val="20"/>
          <w:szCs w:val="20"/>
        </w:rPr>
        <w:t xml:space="preserve"> </w:t>
      </w:r>
      <w:r w:rsidRPr="00853722">
        <w:rPr>
          <w:sz w:val="20"/>
          <w:szCs w:val="20"/>
        </w:rPr>
        <w:t xml:space="preserve">produz efeito benéfico na dor e pode reduzir a incidência de neuralgia pós-herpética (dor associada ao Herpes zoster). </w:t>
      </w:r>
      <w:r w:rsidRPr="00853722">
        <w:rPr>
          <w:bCs/>
          <w:sz w:val="20"/>
          <w:szCs w:val="20"/>
        </w:rPr>
        <w:t>HERVIRAX</w:t>
      </w:r>
      <w:r w:rsidRPr="00853722">
        <w:rPr>
          <w:b/>
          <w:bCs/>
          <w:sz w:val="20"/>
          <w:szCs w:val="20"/>
        </w:rPr>
        <w:t xml:space="preserve"> </w:t>
      </w:r>
      <w:r w:rsidRPr="00853722">
        <w:rPr>
          <w:sz w:val="20"/>
          <w:szCs w:val="20"/>
        </w:rPr>
        <w:t xml:space="preserve">também é usado no tratamento de pacientes seriamente imunocomprometidos. </w:t>
      </w:r>
    </w:p>
    <w:p w14:paraId="0FFC08A6" w14:textId="77777777" w:rsidR="00936AA7" w:rsidRDefault="00936AA7" w:rsidP="00936AA7">
      <w:pPr>
        <w:pStyle w:val="Default"/>
        <w:spacing w:line="280" w:lineRule="atLeast"/>
        <w:jc w:val="both"/>
        <w:rPr>
          <w:b/>
          <w:bCs/>
          <w:sz w:val="20"/>
          <w:szCs w:val="20"/>
        </w:rPr>
      </w:pPr>
    </w:p>
    <w:p w14:paraId="52E47C9B" w14:textId="77777777" w:rsidR="00936AA7" w:rsidRDefault="00936AA7" w:rsidP="00936AA7">
      <w:pPr>
        <w:pStyle w:val="Default"/>
        <w:spacing w:line="280" w:lineRule="atLeast"/>
        <w:jc w:val="both"/>
        <w:rPr>
          <w:b/>
          <w:bCs/>
          <w:sz w:val="20"/>
          <w:szCs w:val="20"/>
        </w:rPr>
      </w:pPr>
      <w:r w:rsidRPr="00853722">
        <w:rPr>
          <w:b/>
          <w:bCs/>
          <w:sz w:val="20"/>
          <w:szCs w:val="20"/>
        </w:rPr>
        <w:t>2. RESULTADOS DE EFICÁCIA</w:t>
      </w:r>
    </w:p>
    <w:p w14:paraId="228D17E8" w14:textId="77777777" w:rsidR="00936AA7" w:rsidRPr="0017048B" w:rsidRDefault="00936AA7" w:rsidP="00936AA7">
      <w:pPr>
        <w:pStyle w:val="Default"/>
        <w:spacing w:line="280" w:lineRule="atLeast"/>
        <w:jc w:val="both"/>
        <w:rPr>
          <w:bCs/>
          <w:sz w:val="20"/>
          <w:szCs w:val="20"/>
        </w:rPr>
      </w:pPr>
      <w:r w:rsidRPr="0017048B">
        <w:rPr>
          <w:bCs/>
          <w:sz w:val="20"/>
          <w:szCs w:val="20"/>
        </w:rPr>
        <w:t>Estudos clínicos em pacientes com herpes labial, demonstraram redução significativa da duração da dor, tempo de cura e área da primeira</w:t>
      </w:r>
      <w:r>
        <w:rPr>
          <w:bCs/>
          <w:sz w:val="20"/>
          <w:szCs w:val="20"/>
        </w:rPr>
        <w:t xml:space="preserve"> </w:t>
      </w:r>
      <w:r w:rsidRPr="0017048B">
        <w:rPr>
          <w:bCs/>
          <w:sz w:val="20"/>
          <w:szCs w:val="20"/>
        </w:rPr>
        <w:t>lesão, com tratamento de 200mg de ACV, 5x/dia durante 5 dias, quando comparado com placebo.</w:t>
      </w:r>
      <w:r w:rsidRPr="0017048B">
        <w:rPr>
          <w:bCs/>
          <w:sz w:val="20"/>
          <w:szCs w:val="20"/>
          <w:vertAlign w:val="superscript"/>
        </w:rPr>
        <w:t>1</w:t>
      </w:r>
    </w:p>
    <w:p w14:paraId="19DAF1B4" w14:textId="77777777" w:rsidR="00936AA7" w:rsidRPr="0017048B" w:rsidRDefault="00936AA7" w:rsidP="00936AA7">
      <w:pPr>
        <w:pStyle w:val="Default"/>
        <w:spacing w:line="280" w:lineRule="atLeast"/>
        <w:jc w:val="both"/>
        <w:rPr>
          <w:bCs/>
          <w:sz w:val="20"/>
          <w:szCs w:val="20"/>
        </w:rPr>
      </w:pPr>
      <w:r w:rsidRPr="0017048B">
        <w:rPr>
          <w:bCs/>
          <w:sz w:val="20"/>
          <w:szCs w:val="20"/>
        </w:rPr>
        <w:t>Estudos clínicos em pacientes pediátricos apresentando gengivoestomatite, com média de idade de 2 anos, demonstraram que o</w:t>
      </w:r>
      <w:r>
        <w:rPr>
          <w:bCs/>
          <w:sz w:val="20"/>
          <w:szCs w:val="20"/>
        </w:rPr>
        <w:t xml:space="preserve"> </w:t>
      </w:r>
      <w:r w:rsidRPr="0017048B">
        <w:rPr>
          <w:bCs/>
          <w:sz w:val="20"/>
          <w:szCs w:val="20"/>
        </w:rPr>
        <w:t>tratamento com ACV oral na dose de 200 mg 5x/dia, durante 5 a 7 dias, reduziu significativamente a duração da atividade viral, lesões</w:t>
      </w:r>
      <w:r>
        <w:rPr>
          <w:bCs/>
          <w:sz w:val="20"/>
          <w:szCs w:val="20"/>
        </w:rPr>
        <w:t xml:space="preserve"> </w:t>
      </w:r>
      <w:r w:rsidRPr="0017048B">
        <w:rPr>
          <w:bCs/>
          <w:sz w:val="20"/>
          <w:szCs w:val="20"/>
        </w:rPr>
        <w:t>orais, extraorais, febre e</w:t>
      </w:r>
      <w:r>
        <w:rPr>
          <w:bCs/>
          <w:sz w:val="20"/>
          <w:szCs w:val="20"/>
        </w:rPr>
        <w:t xml:space="preserve"> dificuldade de deglutição em </w:t>
      </w:r>
      <w:r>
        <w:rPr>
          <w:sz w:val="16"/>
          <w:szCs w:val="16"/>
        </w:rPr>
        <w:t xml:space="preserve">≥ </w:t>
      </w:r>
      <w:r w:rsidRPr="0017048B">
        <w:rPr>
          <w:bCs/>
          <w:sz w:val="20"/>
          <w:szCs w:val="20"/>
        </w:rPr>
        <w:t>50 % dos pacientes comparado ao grupo placebo.</w:t>
      </w:r>
      <w:r w:rsidRPr="0017048B">
        <w:rPr>
          <w:bCs/>
          <w:sz w:val="20"/>
          <w:szCs w:val="20"/>
          <w:vertAlign w:val="superscript"/>
        </w:rPr>
        <w:t>2,3</w:t>
      </w:r>
    </w:p>
    <w:p w14:paraId="7F7758BC" w14:textId="77777777" w:rsidR="00936AA7" w:rsidRPr="0017048B" w:rsidRDefault="00936AA7" w:rsidP="00936AA7">
      <w:pPr>
        <w:pStyle w:val="Default"/>
        <w:spacing w:line="280" w:lineRule="atLeast"/>
        <w:jc w:val="both"/>
        <w:rPr>
          <w:bCs/>
          <w:sz w:val="20"/>
          <w:szCs w:val="20"/>
        </w:rPr>
      </w:pPr>
      <w:r w:rsidRPr="0017048B">
        <w:rPr>
          <w:bCs/>
          <w:sz w:val="20"/>
          <w:szCs w:val="20"/>
        </w:rPr>
        <w:t>Estudo randomizado e duplo-cego, envolvendo 119 pacientes adultos com infecção primária e 31 pacientes com não-primária,</w:t>
      </w:r>
      <w:r>
        <w:rPr>
          <w:bCs/>
          <w:sz w:val="20"/>
          <w:szCs w:val="20"/>
        </w:rPr>
        <w:t xml:space="preserve"> </w:t>
      </w:r>
      <w:r w:rsidRPr="0017048B">
        <w:rPr>
          <w:bCs/>
          <w:sz w:val="20"/>
          <w:szCs w:val="20"/>
        </w:rPr>
        <w:t>apresentando primeiro episódio de herpes genital tratados com 200 mg 5x/dia de ACV durante 10 dias, demonstraram redução da duração</w:t>
      </w:r>
      <w:r>
        <w:rPr>
          <w:bCs/>
          <w:sz w:val="20"/>
          <w:szCs w:val="20"/>
        </w:rPr>
        <w:t xml:space="preserve"> </w:t>
      </w:r>
      <w:r w:rsidRPr="0017048B">
        <w:rPr>
          <w:bCs/>
          <w:sz w:val="20"/>
          <w:szCs w:val="20"/>
        </w:rPr>
        <w:t>da atividade viral, tempo de cura e duração da dor local.</w:t>
      </w:r>
      <w:r w:rsidRPr="0017048B">
        <w:rPr>
          <w:bCs/>
          <w:sz w:val="20"/>
          <w:szCs w:val="20"/>
          <w:vertAlign w:val="superscript"/>
        </w:rPr>
        <w:t>4</w:t>
      </w:r>
    </w:p>
    <w:p w14:paraId="2094160A" w14:textId="77777777" w:rsidR="00936AA7" w:rsidRPr="0017048B" w:rsidRDefault="00936AA7" w:rsidP="00936AA7">
      <w:pPr>
        <w:pStyle w:val="Default"/>
        <w:spacing w:line="280" w:lineRule="atLeast"/>
        <w:jc w:val="both"/>
        <w:rPr>
          <w:bCs/>
          <w:sz w:val="20"/>
          <w:szCs w:val="20"/>
        </w:rPr>
      </w:pPr>
      <w:r w:rsidRPr="0017048B">
        <w:rPr>
          <w:bCs/>
          <w:sz w:val="20"/>
          <w:szCs w:val="20"/>
        </w:rPr>
        <w:t>Estudo randomizado e duplo-cego envolvendo 156 pacientes adultos com herpes genital recorrente receberam tratamento com ACV oral</w:t>
      </w:r>
      <w:r>
        <w:rPr>
          <w:bCs/>
          <w:sz w:val="20"/>
          <w:szCs w:val="20"/>
        </w:rPr>
        <w:t xml:space="preserve"> </w:t>
      </w:r>
      <w:r w:rsidRPr="0017048B">
        <w:rPr>
          <w:bCs/>
          <w:sz w:val="20"/>
          <w:szCs w:val="20"/>
        </w:rPr>
        <w:t>na dose de 400 mg 2x/dia por um ano seguido de 200 mg 5x/dia por cinco dias. A administração diária de ACV oral foi superior ao</w:t>
      </w:r>
      <w:r>
        <w:rPr>
          <w:bCs/>
          <w:sz w:val="20"/>
          <w:szCs w:val="20"/>
        </w:rPr>
        <w:t xml:space="preserve"> </w:t>
      </w:r>
      <w:r w:rsidRPr="0017048B">
        <w:rPr>
          <w:bCs/>
          <w:sz w:val="20"/>
          <w:szCs w:val="20"/>
        </w:rPr>
        <w:t>placebo no tratamento de herpes genital recorrente.</w:t>
      </w:r>
      <w:r w:rsidRPr="0017048B">
        <w:rPr>
          <w:bCs/>
          <w:sz w:val="20"/>
          <w:szCs w:val="20"/>
          <w:vertAlign w:val="superscript"/>
        </w:rPr>
        <w:t>5</w:t>
      </w:r>
    </w:p>
    <w:p w14:paraId="6C1E4D47" w14:textId="77777777" w:rsidR="00936AA7" w:rsidRPr="0017048B" w:rsidRDefault="00936AA7" w:rsidP="00936AA7">
      <w:pPr>
        <w:pStyle w:val="Default"/>
        <w:spacing w:line="280" w:lineRule="atLeast"/>
        <w:jc w:val="both"/>
        <w:rPr>
          <w:bCs/>
          <w:sz w:val="20"/>
          <w:szCs w:val="20"/>
        </w:rPr>
      </w:pPr>
      <w:r w:rsidRPr="0017048B">
        <w:rPr>
          <w:bCs/>
          <w:sz w:val="20"/>
          <w:szCs w:val="20"/>
        </w:rPr>
        <w:t>Estudo duplo-cego, placebo controlado avaliou 49 pacientes adultos com doença hematológica maligna candidatos a transplante de</w:t>
      </w:r>
      <w:r>
        <w:rPr>
          <w:bCs/>
          <w:sz w:val="20"/>
          <w:szCs w:val="20"/>
        </w:rPr>
        <w:t xml:space="preserve"> </w:t>
      </w:r>
      <w:r w:rsidRPr="0017048B">
        <w:rPr>
          <w:bCs/>
          <w:sz w:val="20"/>
          <w:szCs w:val="20"/>
        </w:rPr>
        <w:t>medula, que receberam ACV na dose de 400 mg 5x/dia. O tratamento com ACV oral promoveu</w:t>
      </w:r>
      <w:r w:rsidRPr="0017048B">
        <w:rPr>
          <w:b/>
          <w:bCs/>
          <w:sz w:val="20"/>
          <w:szCs w:val="20"/>
        </w:rPr>
        <w:t xml:space="preserve"> </w:t>
      </w:r>
      <w:r w:rsidRPr="0017048B">
        <w:rPr>
          <w:bCs/>
          <w:sz w:val="20"/>
          <w:szCs w:val="20"/>
        </w:rPr>
        <w:t>profilaxia efetiva contra a reativação do</w:t>
      </w:r>
      <w:r>
        <w:rPr>
          <w:bCs/>
          <w:sz w:val="20"/>
          <w:szCs w:val="20"/>
        </w:rPr>
        <w:t xml:space="preserve"> </w:t>
      </w:r>
      <w:r w:rsidRPr="0017048B">
        <w:rPr>
          <w:bCs/>
          <w:sz w:val="20"/>
          <w:szCs w:val="20"/>
        </w:rPr>
        <w:t>vírus do herpes simples em pacientes severamente imunossuprimidos capazes da ingestão de droga oral.</w:t>
      </w:r>
      <w:r w:rsidRPr="0017048B">
        <w:rPr>
          <w:bCs/>
          <w:sz w:val="20"/>
          <w:szCs w:val="20"/>
          <w:vertAlign w:val="superscript"/>
        </w:rPr>
        <w:t>6</w:t>
      </w:r>
    </w:p>
    <w:p w14:paraId="6187A037" w14:textId="77777777" w:rsidR="00936AA7" w:rsidRDefault="00936AA7" w:rsidP="00936AA7">
      <w:pPr>
        <w:pStyle w:val="Default"/>
        <w:spacing w:line="280" w:lineRule="atLeast"/>
        <w:jc w:val="both"/>
        <w:rPr>
          <w:bCs/>
          <w:sz w:val="20"/>
          <w:szCs w:val="20"/>
          <w:vertAlign w:val="superscript"/>
        </w:rPr>
      </w:pPr>
      <w:r w:rsidRPr="0017048B">
        <w:rPr>
          <w:bCs/>
          <w:sz w:val="20"/>
          <w:szCs w:val="20"/>
        </w:rPr>
        <w:t>Estudos clínicos placebo controlado, demonstraram que administração oral de ACV é efetivo no tratamento de herpes zoster em pacientes</w:t>
      </w:r>
      <w:r>
        <w:rPr>
          <w:bCs/>
          <w:sz w:val="20"/>
          <w:szCs w:val="20"/>
        </w:rPr>
        <w:t xml:space="preserve"> </w:t>
      </w:r>
      <w:r w:rsidRPr="0017048B">
        <w:rPr>
          <w:bCs/>
          <w:sz w:val="20"/>
          <w:szCs w:val="20"/>
        </w:rPr>
        <w:t xml:space="preserve">adultos e idosos. O tratamento com ACV reduziu a severidade e duração do </w:t>
      </w:r>
      <w:r w:rsidRPr="0037505D">
        <w:rPr>
          <w:bCs/>
          <w:i/>
          <w:sz w:val="20"/>
          <w:szCs w:val="20"/>
        </w:rPr>
        <w:t>rash</w:t>
      </w:r>
      <w:r w:rsidRPr="0017048B">
        <w:rPr>
          <w:bCs/>
          <w:sz w:val="20"/>
          <w:szCs w:val="20"/>
        </w:rPr>
        <w:t xml:space="preserve">, da dor, propagação do </w:t>
      </w:r>
      <w:r w:rsidRPr="009411BA">
        <w:rPr>
          <w:bCs/>
          <w:i/>
          <w:sz w:val="20"/>
          <w:szCs w:val="20"/>
        </w:rPr>
        <w:t>rash</w:t>
      </w:r>
      <w:r w:rsidRPr="0017048B">
        <w:rPr>
          <w:bCs/>
          <w:sz w:val="20"/>
          <w:szCs w:val="20"/>
        </w:rPr>
        <w:t xml:space="preserve"> para as áreas adjacentes e</w:t>
      </w:r>
      <w:r>
        <w:rPr>
          <w:bCs/>
          <w:sz w:val="20"/>
          <w:szCs w:val="20"/>
        </w:rPr>
        <w:t xml:space="preserve"> </w:t>
      </w:r>
      <w:r w:rsidRPr="0017048B">
        <w:rPr>
          <w:bCs/>
          <w:sz w:val="20"/>
          <w:szCs w:val="20"/>
        </w:rPr>
        <w:t>incidência da disseminação de lesões/ulcerações.</w:t>
      </w:r>
      <w:r w:rsidRPr="0017048B">
        <w:rPr>
          <w:bCs/>
          <w:sz w:val="20"/>
          <w:szCs w:val="20"/>
          <w:vertAlign w:val="superscript"/>
        </w:rPr>
        <w:t>7,8</w:t>
      </w:r>
    </w:p>
    <w:p w14:paraId="2B1A4EE6" w14:textId="77777777" w:rsidR="00936AA7" w:rsidRPr="0017048B" w:rsidRDefault="00936AA7" w:rsidP="00936AA7">
      <w:pPr>
        <w:pStyle w:val="Default"/>
        <w:spacing w:line="280" w:lineRule="atLeast"/>
        <w:jc w:val="both"/>
        <w:rPr>
          <w:bCs/>
          <w:sz w:val="20"/>
          <w:szCs w:val="20"/>
        </w:rPr>
      </w:pPr>
    </w:p>
    <w:p w14:paraId="60B5E164" w14:textId="77777777" w:rsidR="005F74A2" w:rsidRDefault="005F74A2" w:rsidP="00936AA7">
      <w:pPr>
        <w:pStyle w:val="Default"/>
        <w:spacing w:line="280" w:lineRule="atLeast"/>
        <w:jc w:val="both"/>
        <w:rPr>
          <w:bCs/>
          <w:sz w:val="20"/>
          <w:szCs w:val="20"/>
          <w:lang w:val="en-US"/>
        </w:rPr>
      </w:pPr>
    </w:p>
    <w:p w14:paraId="2B519D21" w14:textId="1A0F86DF" w:rsidR="00936AA7" w:rsidRPr="0017048B" w:rsidRDefault="00936AA7" w:rsidP="00936AA7">
      <w:pPr>
        <w:pStyle w:val="Default"/>
        <w:spacing w:line="280" w:lineRule="atLeast"/>
        <w:jc w:val="both"/>
        <w:rPr>
          <w:bCs/>
          <w:sz w:val="20"/>
          <w:szCs w:val="20"/>
          <w:lang w:val="en-US"/>
        </w:rPr>
      </w:pPr>
      <w:r w:rsidRPr="0017048B">
        <w:rPr>
          <w:bCs/>
          <w:sz w:val="20"/>
          <w:szCs w:val="20"/>
          <w:lang w:val="en-US"/>
        </w:rPr>
        <w:t xml:space="preserve">1. RABORN, GW. </w:t>
      </w:r>
      <w:r w:rsidRPr="004448E1">
        <w:rPr>
          <w:bCs/>
          <w:i/>
          <w:sz w:val="20"/>
          <w:szCs w:val="20"/>
          <w:lang w:val="en-US"/>
        </w:rPr>
        <w:t>et al</w:t>
      </w:r>
      <w:r w:rsidRPr="0017048B">
        <w:rPr>
          <w:bCs/>
          <w:sz w:val="20"/>
          <w:szCs w:val="20"/>
          <w:lang w:val="en-US"/>
        </w:rPr>
        <w:t>. Oral aciclovir and herpes labialis: a randomized, double-blind, placebo-controlled study. J Am Dent Assoc, 115(1): 38-42, 1987.</w:t>
      </w:r>
    </w:p>
    <w:p w14:paraId="7505D114" w14:textId="77777777" w:rsidR="00936AA7" w:rsidRPr="00946E61" w:rsidRDefault="00936AA7" w:rsidP="00936AA7">
      <w:pPr>
        <w:pStyle w:val="Default"/>
        <w:spacing w:line="280" w:lineRule="atLeast"/>
        <w:jc w:val="both"/>
        <w:rPr>
          <w:bCs/>
          <w:sz w:val="20"/>
          <w:szCs w:val="20"/>
          <w:lang w:val="en-US"/>
        </w:rPr>
      </w:pPr>
      <w:r w:rsidRPr="0017048B">
        <w:rPr>
          <w:bCs/>
          <w:sz w:val="20"/>
          <w:szCs w:val="20"/>
          <w:lang w:val="en-US"/>
        </w:rPr>
        <w:t xml:space="preserve">2. AMIR, J. </w:t>
      </w:r>
      <w:r w:rsidRPr="004448E1">
        <w:rPr>
          <w:bCs/>
          <w:i/>
          <w:sz w:val="20"/>
          <w:szCs w:val="20"/>
          <w:lang w:val="en-US"/>
        </w:rPr>
        <w:t>et al</w:t>
      </w:r>
      <w:r w:rsidRPr="0017048B">
        <w:rPr>
          <w:bCs/>
          <w:sz w:val="20"/>
          <w:szCs w:val="20"/>
          <w:lang w:val="en-US"/>
        </w:rPr>
        <w:t>. Treatment of herpes simplex gingivostomatitis with aciclovir in children: a randomised double blind placebo controlled</w:t>
      </w:r>
      <w:r>
        <w:rPr>
          <w:bCs/>
          <w:sz w:val="20"/>
          <w:szCs w:val="20"/>
          <w:lang w:val="en-US"/>
        </w:rPr>
        <w:t xml:space="preserve"> </w:t>
      </w:r>
      <w:r w:rsidRPr="00946E61">
        <w:rPr>
          <w:bCs/>
          <w:sz w:val="20"/>
          <w:szCs w:val="20"/>
          <w:lang w:val="en-US"/>
        </w:rPr>
        <w:t>study. BMJ, 314(7097): 1800-1803, 1997.</w:t>
      </w:r>
    </w:p>
    <w:p w14:paraId="7B32E127" w14:textId="77777777" w:rsidR="00936AA7" w:rsidRPr="0017048B" w:rsidRDefault="00936AA7" w:rsidP="00936AA7">
      <w:pPr>
        <w:pStyle w:val="Default"/>
        <w:spacing w:line="280" w:lineRule="atLeast"/>
        <w:jc w:val="both"/>
        <w:rPr>
          <w:bCs/>
          <w:sz w:val="20"/>
          <w:szCs w:val="20"/>
          <w:lang w:val="en-US"/>
        </w:rPr>
      </w:pPr>
      <w:r w:rsidRPr="0017048B">
        <w:rPr>
          <w:bCs/>
          <w:sz w:val="20"/>
          <w:szCs w:val="20"/>
          <w:lang w:val="en-US"/>
        </w:rPr>
        <w:t xml:space="preserve">3. DUCOULOMBIER, H. </w:t>
      </w:r>
      <w:r w:rsidRPr="004448E1">
        <w:rPr>
          <w:bCs/>
          <w:i/>
          <w:sz w:val="20"/>
          <w:szCs w:val="20"/>
          <w:lang w:val="en-US"/>
        </w:rPr>
        <w:t>et al</w:t>
      </w:r>
      <w:r w:rsidRPr="0017048B">
        <w:rPr>
          <w:bCs/>
          <w:sz w:val="20"/>
          <w:szCs w:val="20"/>
          <w:lang w:val="en-US"/>
        </w:rPr>
        <w:t>. Herpetic stomatitis-gingivitis in children: controlled trial of aciclovir versus placebo. Ann Pediatr, 35(3): 212-216, 1988.</w:t>
      </w:r>
    </w:p>
    <w:p w14:paraId="69F47CCB" w14:textId="77777777" w:rsidR="00936AA7" w:rsidRPr="002034F6" w:rsidRDefault="00936AA7" w:rsidP="00936AA7">
      <w:pPr>
        <w:pStyle w:val="Default"/>
        <w:spacing w:line="280" w:lineRule="atLeast"/>
        <w:jc w:val="both"/>
        <w:rPr>
          <w:sz w:val="16"/>
          <w:szCs w:val="16"/>
          <w:lang w:val="en-US"/>
        </w:rPr>
      </w:pPr>
      <w:r w:rsidRPr="0017048B">
        <w:rPr>
          <w:bCs/>
          <w:sz w:val="20"/>
          <w:szCs w:val="20"/>
          <w:lang w:val="en-US"/>
        </w:rPr>
        <w:t>4. MERTZ, GJ.</w:t>
      </w:r>
      <w:r w:rsidRPr="0017048B">
        <w:rPr>
          <w:sz w:val="16"/>
          <w:szCs w:val="16"/>
          <w:lang w:val="en-US"/>
        </w:rPr>
        <w:t xml:space="preserve"> </w:t>
      </w:r>
      <w:r w:rsidRPr="004448E1">
        <w:rPr>
          <w:i/>
          <w:sz w:val="20"/>
          <w:szCs w:val="20"/>
          <w:lang w:val="en-US"/>
        </w:rPr>
        <w:t>et al</w:t>
      </w:r>
      <w:r w:rsidRPr="0017048B">
        <w:rPr>
          <w:sz w:val="20"/>
          <w:szCs w:val="20"/>
          <w:lang w:val="en-US"/>
        </w:rPr>
        <w:t xml:space="preserve">. Double-blind placebo-controlled trial of oral acyclovir in first-episode genital herpes simplex virus infection. </w:t>
      </w:r>
      <w:r w:rsidRPr="002034F6">
        <w:rPr>
          <w:sz w:val="20"/>
          <w:szCs w:val="20"/>
          <w:lang w:val="en-US"/>
        </w:rPr>
        <w:t>JAMA, 252(9): 1147-51, 1984.</w:t>
      </w:r>
    </w:p>
    <w:p w14:paraId="636459AD" w14:textId="77777777" w:rsidR="00936AA7" w:rsidRPr="0017048B" w:rsidRDefault="00936AA7" w:rsidP="00936AA7">
      <w:pPr>
        <w:pStyle w:val="Default"/>
        <w:spacing w:line="280" w:lineRule="atLeast"/>
        <w:jc w:val="both"/>
        <w:rPr>
          <w:sz w:val="20"/>
          <w:szCs w:val="20"/>
          <w:lang w:val="en-US"/>
        </w:rPr>
      </w:pPr>
      <w:r w:rsidRPr="0017048B">
        <w:rPr>
          <w:sz w:val="20"/>
          <w:szCs w:val="20"/>
          <w:lang w:val="en-US"/>
        </w:rPr>
        <w:t xml:space="preserve">5. MATTISON, HR. </w:t>
      </w:r>
      <w:r w:rsidRPr="004448E1">
        <w:rPr>
          <w:i/>
          <w:sz w:val="20"/>
          <w:szCs w:val="20"/>
          <w:lang w:val="en-US"/>
        </w:rPr>
        <w:t>et al</w:t>
      </w:r>
      <w:r w:rsidRPr="0017048B">
        <w:rPr>
          <w:sz w:val="20"/>
          <w:szCs w:val="20"/>
          <w:lang w:val="en-US"/>
        </w:rPr>
        <w:t>. A double-blind, placebo-controlled trial comparing long-term suppressive with short-term oral acyclovir therapy for management of recurrent genital herpes. Am J Med, 85(2A): 20-25, 1988.</w:t>
      </w:r>
    </w:p>
    <w:p w14:paraId="1BD12B33" w14:textId="77777777" w:rsidR="00936AA7" w:rsidRPr="0017048B" w:rsidRDefault="00936AA7" w:rsidP="00936AA7">
      <w:pPr>
        <w:pStyle w:val="Default"/>
        <w:spacing w:line="280" w:lineRule="atLeast"/>
        <w:jc w:val="both"/>
        <w:rPr>
          <w:bCs/>
          <w:sz w:val="20"/>
          <w:szCs w:val="20"/>
          <w:lang w:val="en-US"/>
        </w:rPr>
      </w:pPr>
      <w:r w:rsidRPr="0017048B">
        <w:rPr>
          <w:bCs/>
          <w:sz w:val="20"/>
          <w:szCs w:val="20"/>
          <w:lang w:val="en-US"/>
        </w:rPr>
        <w:t xml:space="preserve">6. WADE, JC. </w:t>
      </w:r>
      <w:r w:rsidRPr="004448E1">
        <w:rPr>
          <w:bCs/>
          <w:i/>
          <w:sz w:val="20"/>
          <w:szCs w:val="20"/>
          <w:lang w:val="en-US"/>
        </w:rPr>
        <w:t>et al</w:t>
      </w:r>
      <w:r w:rsidRPr="0017048B">
        <w:rPr>
          <w:bCs/>
          <w:sz w:val="20"/>
          <w:szCs w:val="20"/>
          <w:lang w:val="en-US"/>
        </w:rPr>
        <w:t>. Oral acyclovir for prevention of herpes simplex virus reactivation after marrow transplantation. Ann Intern Med,</w:t>
      </w:r>
      <w:r>
        <w:rPr>
          <w:bCs/>
          <w:sz w:val="20"/>
          <w:szCs w:val="20"/>
          <w:lang w:val="en-US"/>
        </w:rPr>
        <w:t xml:space="preserve"> </w:t>
      </w:r>
      <w:r w:rsidRPr="0017048B">
        <w:rPr>
          <w:bCs/>
          <w:sz w:val="20"/>
          <w:szCs w:val="20"/>
          <w:lang w:val="en-US"/>
        </w:rPr>
        <w:t>100(6): 823-8, 1984.</w:t>
      </w:r>
    </w:p>
    <w:p w14:paraId="427305D7" w14:textId="77777777" w:rsidR="00936AA7" w:rsidRPr="0017048B" w:rsidRDefault="00936AA7" w:rsidP="00936AA7">
      <w:pPr>
        <w:pStyle w:val="Default"/>
        <w:spacing w:line="280" w:lineRule="atLeast"/>
        <w:jc w:val="both"/>
        <w:rPr>
          <w:bCs/>
          <w:sz w:val="20"/>
          <w:szCs w:val="20"/>
          <w:lang w:val="en-US"/>
        </w:rPr>
      </w:pPr>
      <w:r w:rsidRPr="0017048B">
        <w:rPr>
          <w:bCs/>
          <w:sz w:val="20"/>
          <w:szCs w:val="20"/>
          <w:lang w:val="en-US"/>
        </w:rPr>
        <w:t xml:space="preserve">7. PALMIERI, G. </w:t>
      </w:r>
      <w:r w:rsidRPr="004448E1">
        <w:rPr>
          <w:bCs/>
          <w:i/>
          <w:sz w:val="20"/>
          <w:szCs w:val="20"/>
          <w:lang w:val="en-US"/>
        </w:rPr>
        <w:t>et al</w:t>
      </w:r>
      <w:r w:rsidRPr="0017048B">
        <w:rPr>
          <w:bCs/>
          <w:sz w:val="20"/>
          <w:szCs w:val="20"/>
          <w:lang w:val="en-US"/>
        </w:rPr>
        <w:t>. A clinical sturdy on two oral formulations of acyclovir in the treatment of herpes zoster. Acta Toxicol, 14: 105-112, 1993.</w:t>
      </w:r>
    </w:p>
    <w:p w14:paraId="51B3D96E" w14:textId="77777777" w:rsidR="00936AA7" w:rsidRPr="00DC1861" w:rsidRDefault="00936AA7" w:rsidP="00936AA7">
      <w:pPr>
        <w:pStyle w:val="Default"/>
        <w:spacing w:line="280" w:lineRule="atLeast"/>
        <w:jc w:val="both"/>
        <w:rPr>
          <w:bCs/>
          <w:sz w:val="20"/>
          <w:szCs w:val="20"/>
        </w:rPr>
      </w:pPr>
      <w:r w:rsidRPr="0017048B">
        <w:rPr>
          <w:bCs/>
          <w:sz w:val="20"/>
          <w:szCs w:val="20"/>
          <w:lang w:val="en-US"/>
        </w:rPr>
        <w:t xml:space="preserve">8. WOOD, MJ. </w:t>
      </w:r>
      <w:r w:rsidRPr="004448E1">
        <w:rPr>
          <w:bCs/>
          <w:i/>
          <w:sz w:val="20"/>
          <w:szCs w:val="20"/>
          <w:lang w:val="en-US"/>
        </w:rPr>
        <w:t>et al</w:t>
      </w:r>
      <w:r w:rsidRPr="0017048B">
        <w:rPr>
          <w:bCs/>
          <w:sz w:val="20"/>
          <w:szCs w:val="20"/>
          <w:lang w:val="en-US"/>
        </w:rPr>
        <w:t xml:space="preserve"> Efficacy of oral aciclovir treatment of acute herpes zoster. </w:t>
      </w:r>
      <w:r w:rsidRPr="00DC1861">
        <w:rPr>
          <w:bCs/>
          <w:sz w:val="20"/>
          <w:szCs w:val="20"/>
        </w:rPr>
        <w:t>Am J Med, 85(2A): 79-83, 1988.</w:t>
      </w:r>
    </w:p>
    <w:p w14:paraId="7BA92002" w14:textId="77777777" w:rsidR="00936AA7" w:rsidRPr="00DC1861" w:rsidRDefault="00936AA7" w:rsidP="00936AA7">
      <w:pPr>
        <w:pStyle w:val="Default"/>
        <w:spacing w:line="280" w:lineRule="atLeast"/>
        <w:jc w:val="both"/>
        <w:rPr>
          <w:sz w:val="20"/>
          <w:szCs w:val="20"/>
        </w:rPr>
      </w:pPr>
    </w:p>
    <w:p w14:paraId="223DDEC5" w14:textId="77777777" w:rsidR="00936AA7" w:rsidRPr="00EB07AC" w:rsidRDefault="00936AA7" w:rsidP="00936AA7">
      <w:pPr>
        <w:pStyle w:val="Default"/>
        <w:spacing w:line="280" w:lineRule="atLeast"/>
        <w:jc w:val="both"/>
        <w:rPr>
          <w:b/>
          <w:bCs/>
          <w:sz w:val="20"/>
          <w:szCs w:val="20"/>
        </w:rPr>
      </w:pPr>
      <w:r w:rsidRPr="00EB07AC">
        <w:rPr>
          <w:b/>
          <w:bCs/>
          <w:sz w:val="20"/>
          <w:szCs w:val="20"/>
        </w:rPr>
        <w:t xml:space="preserve">3. CARACTERÍSTICAS FARMACOLÓGICAS </w:t>
      </w:r>
    </w:p>
    <w:p w14:paraId="3A97F0BA" w14:textId="77777777" w:rsidR="00936AA7" w:rsidRPr="00EB07AC" w:rsidRDefault="00936AA7" w:rsidP="00936AA7">
      <w:pPr>
        <w:pStyle w:val="Default"/>
        <w:spacing w:line="280" w:lineRule="atLeast"/>
        <w:jc w:val="both"/>
        <w:rPr>
          <w:b/>
          <w:bCs/>
          <w:sz w:val="20"/>
          <w:szCs w:val="20"/>
        </w:rPr>
      </w:pPr>
    </w:p>
    <w:p w14:paraId="71FADC25" w14:textId="77777777" w:rsidR="00936AA7" w:rsidRPr="00EB07AC" w:rsidRDefault="00936AA7" w:rsidP="00936AA7">
      <w:pPr>
        <w:pStyle w:val="Default"/>
        <w:spacing w:line="280" w:lineRule="atLeast"/>
        <w:jc w:val="both"/>
        <w:rPr>
          <w:sz w:val="20"/>
          <w:szCs w:val="20"/>
        </w:rPr>
      </w:pPr>
      <w:r w:rsidRPr="00EB07AC">
        <w:rPr>
          <w:b/>
          <w:bCs/>
          <w:sz w:val="20"/>
          <w:szCs w:val="20"/>
        </w:rPr>
        <w:t xml:space="preserve">Propriedades farmacodinâmicas </w:t>
      </w:r>
    </w:p>
    <w:p w14:paraId="3FDC69B5" w14:textId="77777777" w:rsidR="00936AA7" w:rsidRPr="00853722" w:rsidRDefault="00936AA7" w:rsidP="00936AA7">
      <w:pPr>
        <w:pStyle w:val="Default"/>
        <w:spacing w:line="280" w:lineRule="atLeast"/>
        <w:jc w:val="both"/>
        <w:rPr>
          <w:sz w:val="20"/>
          <w:szCs w:val="20"/>
        </w:rPr>
      </w:pPr>
      <w:r w:rsidRPr="00EB07AC">
        <w:rPr>
          <w:b/>
          <w:bCs/>
          <w:sz w:val="20"/>
          <w:szCs w:val="20"/>
        </w:rPr>
        <w:t>Mecanismo de ação</w:t>
      </w:r>
    </w:p>
    <w:p w14:paraId="05D01EBF" w14:textId="77777777" w:rsidR="00936AA7" w:rsidRPr="00853722" w:rsidRDefault="00936AA7" w:rsidP="00936AA7">
      <w:pPr>
        <w:pStyle w:val="Default"/>
        <w:spacing w:line="280" w:lineRule="atLeast"/>
        <w:jc w:val="both"/>
        <w:rPr>
          <w:sz w:val="20"/>
          <w:szCs w:val="20"/>
        </w:rPr>
      </w:pPr>
      <w:r w:rsidRPr="00853722">
        <w:rPr>
          <w:sz w:val="20"/>
          <w:szCs w:val="20"/>
        </w:rPr>
        <w:t xml:space="preserve">O aciclovir é um nucleosídeo sintético, análogo da purina, com atividade inibitória </w:t>
      </w:r>
      <w:r w:rsidRPr="00853722">
        <w:rPr>
          <w:i/>
          <w:iCs/>
          <w:sz w:val="20"/>
          <w:szCs w:val="20"/>
        </w:rPr>
        <w:t xml:space="preserve">in vitro </w:t>
      </w:r>
      <w:r w:rsidRPr="00853722">
        <w:rPr>
          <w:sz w:val="20"/>
          <w:szCs w:val="20"/>
        </w:rPr>
        <w:t xml:space="preserve">e </w:t>
      </w:r>
      <w:r w:rsidRPr="00853722">
        <w:rPr>
          <w:i/>
          <w:iCs/>
          <w:sz w:val="20"/>
          <w:szCs w:val="20"/>
        </w:rPr>
        <w:t xml:space="preserve">in vivo </w:t>
      </w:r>
      <w:r w:rsidRPr="00853722">
        <w:rPr>
          <w:sz w:val="20"/>
          <w:szCs w:val="20"/>
        </w:rPr>
        <w:t xml:space="preserve">contra os vírus da família herpesvírus, incluindo vírus </w:t>
      </w:r>
      <w:r w:rsidRPr="00853722">
        <w:rPr>
          <w:i/>
          <w:iCs/>
          <w:sz w:val="20"/>
          <w:szCs w:val="20"/>
        </w:rPr>
        <w:t xml:space="preserve">Herpes simplex </w:t>
      </w:r>
      <w:r w:rsidRPr="00853722">
        <w:rPr>
          <w:sz w:val="20"/>
          <w:szCs w:val="20"/>
        </w:rPr>
        <w:t xml:space="preserve">(VHS), tipos 1 e 2; vírus </w:t>
      </w:r>
      <w:r w:rsidRPr="00853722">
        <w:rPr>
          <w:i/>
          <w:iCs/>
          <w:sz w:val="20"/>
          <w:szCs w:val="20"/>
        </w:rPr>
        <w:t xml:space="preserve">Varicella zoster </w:t>
      </w:r>
      <w:r w:rsidRPr="00853722">
        <w:rPr>
          <w:sz w:val="20"/>
          <w:szCs w:val="20"/>
        </w:rPr>
        <w:t xml:space="preserve">(VVZ); vírus </w:t>
      </w:r>
      <w:r w:rsidRPr="00853722">
        <w:rPr>
          <w:i/>
          <w:iCs/>
          <w:sz w:val="20"/>
          <w:szCs w:val="20"/>
        </w:rPr>
        <w:t xml:space="preserve">Epstein Barr </w:t>
      </w:r>
      <w:r w:rsidRPr="00853722">
        <w:rPr>
          <w:sz w:val="20"/>
          <w:szCs w:val="20"/>
        </w:rPr>
        <w:t xml:space="preserve">(VEB) e Citomegalovirus (CMV). Em culturas celulares, o aciclovir tem maior atividade antiviral contra o VHS-1, seguido (em ordem decrescente de potência) pelo VHS-2, VVZ, VEB e CMV. </w:t>
      </w:r>
    </w:p>
    <w:p w14:paraId="1C383EA2" w14:textId="77777777" w:rsidR="00936AA7" w:rsidRPr="00853722" w:rsidRDefault="00936AA7" w:rsidP="00936AA7">
      <w:pPr>
        <w:pStyle w:val="Default"/>
        <w:spacing w:line="280" w:lineRule="atLeast"/>
        <w:jc w:val="both"/>
        <w:rPr>
          <w:sz w:val="20"/>
          <w:szCs w:val="20"/>
        </w:rPr>
      </w:pPr>
      <w:r w:rsidRPr="00853722">
        <w:rPr>
          <w:sz w:val="20"/>
          <w:szCs w:val="20"/>
        </w:rPr>
        <w:t>A atividade inibitória do aciclovir sobre VHS-1, VHS-2, VVZ, VEB e CMV é altamente seletiva. Uma vez que a enzima timidina quinase (TQ) de células normais não-infectadas não utiliza o aciclovir como substrato, a toxicidade do aciclovir para as células do hospedeiro mamífero é baixa.</w:t>
      </w:r>
      <w:r>
        <w:rPr>
          <w:sz w:val="20"/>
          <w:szCs w:val="20"/>
        </w:rPr>
        <w:t xml:space="preserve"> </w:t>
      </w:r>
      <w:r w:rsidRPr="00853722">
        <w:rPr>
          <w:sz w:val="20"/>
          <w:szCs w:val="20"/>
        </w:rPr>
        <w:t xml:space="preserve">No entanto, a TQ codificada pelo VHS, VVZ e VEB converte o aciclovir em monofosfato de aciclovir, um análogo nucleosídeo que é, então, convertido em difosfato e, finalmente, em trifosfato, por enzimas celulares. O trifosfato de aciclovir interfere com a DNA- polimerase viral e inibe a replicação do DNA viral, resultando na terminação da cadeia seguida da incorporação do DNA viral. </w:t>
      </w:r>
    </w:p>
    <w:p w14:paraId="099C6D8A" w14:textId="77777777" w:rsidR="00936AA7" w:rsidRDefault="00936AA7" w:rsidP="00936AA7">
      <w:pPr>
        <w:pStyle w:val="Default"/>
        <w:spacing w:line="280" w:lineRule="atLeast"/>
        <w:jc w:val="both"/>
        <w:rPr>
          <w:b/>
          <w:bCs/>
          <w:sz w:val="20"/>
          <w:szCs w:val="20"/>
        </w:rPr>
      </w:pPr>
    </w:p>
    <w:p w14:paraId="51230566" w14:textId="77777777" w:rsidR="00936AA7" w:rsidRPr="00853722" w:rsidRDefault="00936AA7" w:rsidP="00936AA7">
      <w:pPr>
        <w:pStyle w:val="Default"/>
        <w:spacing w:line="280" w:lineRule="atLeast"/>
        <w:jc w:val="both"/>
        <w:rPr>
          <w:sz w:val="20"/>
          <w:szCs w:val="20"/>
        </w:rPr>
      </w:pPr>
      <w:r w:rsidRPr="00853722">
        <w:rPr>
          <w:b/>
          <w:bCs/>
          <w:sz w:val="20"/>
          <w:szCs w:val="20"/>
        </w:rPr>
        <w:t>Efeitos farmacodinâmicos</w:t>
      </w:r>
    </w:p>
    <w:p w14:paraId="4792F1B8" w14:textId="77777777" w:rsidR="00936AA7" w:rsidRPr="00853722" w:rsidRDefault="00936AA7" w:rsidP="00936AA7">
      <w:pPr>
        <w:pStyle w:val="Default"/>
        <w:spacing w:line="280" w:lineRule="atLeast"/>
        <w:jc w:val="both"/>
        <w:rPr>
          <w:sz w:val="20"/>
          <w:szCs w:val="20"/>
        </w:rPr>
      </w:pPr>
      <w:r w:rsidRPr="00853722">
        <w:rPr>
          <w:sz w:val="20"/>
          <w:szCs w:val="20"/>
        </w:rPr>
        <w:t xml:space="preserve">A administração prolongada ou repetida de aciclovir em pacientes seriamente imunocomprometidos pode resultar na seleção de cepas de vírus com sensibilidade reduzida, que podem não responder ao tratamento contínuo com aciclovir. </w:t>
      </w:r>
    </w:p>
    <w:p w14:paraId="6B500D9D" w14:textId="77777777" w:rsidR="00936AA7" w:rsidRPr="00853722" w:rsidRDefault="00936AA7" w:rsidP="00936AA7">
      <w:pPr>
        <w:pStyle w:val="Default"/>
        <w:spacing w:line="280" w:lineRule="atLeast"/>
        <w:jc w:val="both"/>
        <w:rPr>
          <w:sz w:val="20"/>
          <w:szCs w:val="20"/>
        </w:rPr>
      </w:pPr>
      <w:r w:rsidRPr="00853722">
        <w:rPr>
          <w:sz w:val="20"/>
          <w:szCs w:val="20"/>
        </w:rPr>
        <w:t xml:space="preserve">A maioria das cepas com sensibilidade reduzida, isoladas clinicamente, mostrou-se relativamente deficiente em TQ viral. No entanto, também foram relatadas cepas com TQ viral ou DNA-polimerase alteradas. A exposição do VHS isolado clinicamente ao aciclovir, </w:t>
      </w:r>
      <w:r w:rsidRPr="00853722">
        <w:rPr>
          <w:i/>
          <w:iCs/>
          <w:sz w:val="20"/>
          <w:szCs w:val="20"/>
        </w:rPr>
        <w:t>in vitro</w:t>
      </w:r>
      <w:r w:rsidRPr="00853722">
        <w:rPr>
          <w:sz w:val="20"/>
          <w:szCs w:val="20"/>
        </w:rPr>
        <w:t xml:space="preserve">, também pode levar ao aparecimento de cepas menos sensíveis. A relação entre a sensibilidade do VHS isolado clinicamente, determinada </w:t>
      </w:r>
      <w:r w:rsidRPr="00853722">
        <w:rPr>
          <w:i/>
          <w:iCs/>
          <w:sz w:val="20"/>
          <w:szCs w:val="20"/>
        </w:rPr>
        <w:t xml:space="preserve">in vitro </w:t>
      </w:r>
      <w:r w:rsidRPr="00853722">
        <w:rPr>
          <w:sz w:val="20"/>
          <w:szCs w:val="20"/>
        </w:rPr>
        <w:t xml:space="preserve">e a resposta clínica ao tratamento com aciclovir não está bem definida. </w:t>
      </w:r>
    </w:p>
    <w:p w14:paraId="6CB0D131" w14:textId="1A53D6FF" w:rsidR="00936AA7" w:rsidRPr="00853722" w:rsidRDefault="00936AA7" w:rsidP="00936AA7">
      <w:pPr>
        <w:pStyle w:val="Default"/>
        <w:spacing w:line="280" w:lineRule="atLeast"/>
        <w:jc w:val="both"/>
        <w:rPr>
          <w:sz w:val="20"/>
          <w:szCs w:val="20"/>
        </w:rPr>
      </w:pPr>
      <w:r w:rsidRPr="00853722">
        <w:rPr>
          <w:sz w:val="20"/>
          <w:szCs w:val="20"/>
        </w:rPr>
        <w:t>Todos os pacientes devem ser orientados, a fim de evitar a potencial transmissão do vírus, particularmente qua</w:t>
      </w:r>
      <w:r>
        <w:rPr>
          <w:sz w:val="20"/>
          <w:szCs w:val="20"/>
        </w:rPr>
        <w:t>ndo há lesões ativas presentes</w:t>
      </w:r>
    </w:p>
    <w:p w14:paraId="56562A07" w14:textId="77777777" w:rsidR="00936AA7" w:rsidRPr="00853722" w:rsidRDefault="00936AA7" w:rsidP="00936AA7">
      <w:pPr>
        <w:pStyle w:val="Default"/>
        <w:spacing w:line="280" w:lineRule="atLeast"/>
        <w:jc w:val="both"/>
        <w:rPr>
          <w:sz w:val="20"/>
          <w:szCs w:val="20"/>
        </w:rPr>
      </w:pPr>
      <w:r w:rsidRPr="00853722">
        <w:rPr>
          <w:b/>
          <w:bCs/>
          <w:sz w:val="20"/>
          <w:szCs w:val="20"/>
        </w:rPr>
        <w:t>Propriedades farmacocinéticas</w:t>
      </w:r>
    </w:p>
    <w:p w14:paraId="429737AB" w14:textId="77777777" w:rsidR="00936AA7" w:rsidRPr="00853722" w:rsidRDefault="00936AA7" w:rsidP="00936AA7">
      <w:pPr>
        <w:pStyle w:val="Default"/>
        <w:spacing w:line="280" w:lineRule="atLeast"/>
        <w:jc w:val="both"/>
        <w:rPr>
          <w:sz w:val="20"/>
          <w:szCs w:val="20"/>
        </w:rPr>
      </w:pPr>
      <w:r w:rsidRPr="00853722">
        <w:rPr>
          <w:b/>
          <w:bCs/>
          <w:sz w:val="20"/>
          <w:szCs w:val="20"/>
        </w:rPr>
        <w:t xml:space="preserve">Absorção </w:t>
      </w:r>
    </w:p>
    <w:p w14:paraId="3E3F6EE4" w14:textId="77777777" w:rsidR="00936AA7" w:rsidRPr="00853722" w:rsidRDefault="00936AA7" w:rsidP="00936AA7">
      <w:pPr>
        <w:pStyle w:val="Default"/>
        <w:spacing w:line="280" w:lineRule="atLeast"/>
        <w:jc w:val="both"/>
        <w:rPr>
          <w:sz w:val="20"/>
          <w:szCs w:val="20"/>
        </w:rPr>
      </w:pPr>
      <w:r w:rsidRPr="00853722">
        <w:rPr>
          <w:sz w:val="20"/>
          <w:szCs w:val="20"/>
        </w:rPr>
        <w:t>O aciclovir é apenas parcialmente absorvido no intestino. As médias das concentrações plasmáticas máximas atingidas em estado estável de equilíbrio (C</w:t>
      </w:r>
      <w:r w:rsidRPr="002E5C76">
        <w:rPr>
          <w:sz w:val="20"/>
          <w:szCs w:val="20"/>
          <w:vertAlign w:val="subscript"/>
        </w:rPr>
        <w:t>máx</w:t>
      </w:r>
      <w:r w:rsidRPr="00853722">
        <w:rPr>
          <w:sz w:val="20"/>
          <w:szCs w:val="20"/>
        </w:rPr>
        <w:t>), após doses de 200 mg, administradas a cada quatro horas, foram de 3,1 μM (0,7 μg/mL) e os níveis plasmáticos mínimos equivalentes (C</w:t>
      </w:r>
      <w:r w:rsidRPr="002E5C76">
        <w:rPr>
          <w:sz w:val="20"/>
          <w:szCs w:val="20"/>
          <w:vertAlign w:val="subscript"/>
        </w:rPr>
        <w:t>mín</w:t>
      </w:r>
      <w:r w:rsidRPr="00853722">
        <w:rPr>
          <w:sz w:val="20"/>
          <w:szCs w:val="20"/>
        </w:rPr>
        <w:t>) foram de 1,8 μM (0,4 μg/mL). Os níveis de C</w:t>
      </w:r>
      <w:r w:rsidRPr="0065295E">
        <w:rPr>
          <w:sz w:val="20"/>
          <w:szCs w:val="20"/>
          <w:vertAlign w:val="subscript"/>
        </w:rPr>
        <w:t>máx</w:t>
      </w:r>
      <w:r w:rsidRPr="00853722">
        <w:rPr>
          <w:sz w:val="20"/>
          <w:szCs w:val="20"/>
        </w:rPr>
        <w:t xml:space="preserve"> correspondentes após doses de 400 mg e 800 mg, administradas a cada quatro horas, foram de 5,3 μM (1,2 μg/mL) e 8 μM (1,8 μg/mL) respectivamente, e os níveis equivalentes de C</w:t>
      </w:r>
      <w:r w:rsidRPr="002E5C76">
        <w:rPr>
          <w:sz w:val="20"/>
          <w:szCs w:val="20"/>
          <w:vertAlign w:val="subscript"/>
        </w:rPr>
        <w:t>mín</w:t>
      </w:r>
      <w:r w:rsidRPr="00853722">
        <w:rPr>
          <w:sz w:val="20"/>
          <w:szCs w:val="20"/>
        </w:rPr>
        <w:t xml:space="preserve"> foram de 2,7 μM (0,6 μg/mL) e 4μM (0,9 μg/mL). </w:t>
      </w:r>
    </w:p>
    <w:p w14:paraId="228DFD84" w14:textId="77777777" w:rsidR="00936AA7" w:rsidRPr="00853722" w:rsidRDefault="00936AA7" w:rsidP="00936AA7">
      <w:pPr>
        <w:pStyle w:val="Default"/>
        <w:spacing w:line="280" w:lineRule="atLeast"/>
        <w:jc w:val="both"/>
        <w:rPr>
          <w:sz w:val="20"/>
          <w:szCs w:val="20"/>
        </w:rPr>
      </w:pPr>
      <w:r w:rsidRPr="00853722">
        <w:rPr>
          <w:sz w:val="20"/>
          <w:szCs w:val="20"/>
        </w:rPr>
        <w:t>Em adultos, as médias das concentrações plasmáticas máximas atingidas (C</w:t>
      </w:r>
      <w:r w:rsidRPr="002E5C76">
        <w:rPr>
          <w:sz w:val="20"/>
          <w:szCs w:val="20"/>
          <w:vertAlign w:val="subscript"/>
        </w:rPr>
        <w:t>máx</w:t>
      </w:r>
      <w:r w:rsidRPr="00853722">
        <w:rPr>
          <w:sz w:val="20"/>
          <w:szCs w:val="20"/>
        </w:rPr>
        <w:t xml:space="preserve">) após infusão por uma hora de 2,5 mg/kg; 5 mg/kg; 10 mg/kg ou 15 mg/kg foram 22,7 μM (5,1 μg/mL); 43,6 μM (9,8μg/mL); 92 μM (20,7 μg/mL) e 105 μM (23,6 </w:t>
      </w:r>
      <w:r w:rsidRPr="00853722">
        <w:rPr>
          <w:sz w:val="20"/>
          <w:szCs w:val="20"/>
        </w:rPr>
        <w:lastRenderedPageBreak/>
        <w:t>μg/mL), respectivamente. Os níveis mínimos equivalentes (C</w:t>
      </w:r>
      <w:r w:rsidRPr="002E5C76">
        <w:rPr>
          <w:sz w:val="20"/>
          <w:szCs w:val="20"/>
          <w:vertAlign w:val="subscript"/>
        </w:rPr>
        <w:t>mín</w:t>
      </w:r>
      <w:r w:rsidRPr="00853722">
        <w:rPr>
          <w:sz w:val="20"/>
          <w:szCs w:val="20"/>
        </w:rPr>
        <w:t xml:space="preserve">), sete horas mais tarde, foram de 2,2 μM (0,5 μg/mL); 3,1 μM (0,7μg/mL); 10,2 μM (2,3 μg/mL) e 8,8 μM (2,0μg/mL), respectivamente. </w:t>
      </w:r>
    </w:p>
    <w:p w14:paraId="3C437EE1" w14:textId="575459BC" w:rsidR="00936AA7" w:rsidRDefault="00936AA7" w:rsidP="00936AA7">
      <w:pPr>
        <w:pStyle w:val="Default"/>
        <w:spacing w:line="280" w:lineRule="atLeast"/>
        <w:jc w:val="both"/>
        <w:rPr>
          <w:sz w:val="20"/>
          <w:szCs w:val="20"/>
        </w:rPr>
      </w:pPr>
      <w:r w:rsidRPr="00853722">
        <w:rPr>
          <w:sz w:val="20"/>
          <w:szCs w:val="20"/>
        </w:rPr>
        <w:t>Em crianças com mais de 1 ano de idade, foram observad</w:t>
      </w:r>
      <w:r w:rsidR="00B7203F">
        <w:rPr>
          <w:sz w:val="20"/>
          <w:szCs w:val="20"/>
        </w:rPr>
        <w:t>a</w:t>
      </w:r>
      <w:r w:rsidRPr="00853722">
        <w:rPr>
          <w:sz w:val="20"/>
          <w:szCs w:val="20"/>
        </w:rPr>
        <w:t>s médias das concentrações plasmáticas máximas (C</w:t>
      </w:r>
      <w:r w:rsidRPr="002E5C76">
        <w:rPr>
          <w:sz w:val="20"/>
          <w:szCs w:val="20"/>
          <w:vertAlign w:val="subscript"/>
        </w:rPr>
        <w:t>máx</w:t>
      </w:r>
      <w:r w:rsidRPr="00853722">
        <w:rPr>
          <w:sz w:val="20"/>
          <w:szCs w:val="20"/>
        </w:rPr>
        <w:t>) e níveis mínimos (C</w:t>
      </w:r>
      <w:r w:rsidRPr="002E5C76">
        <w:rPr>
          <w:sz w:val="20"/>
          <w:szCs w:val="20"/>
          <w:vertAlign w:val="subscript"/>
        </w:rPr>
        <w:t>mín</w:t>
      </w:r>
      <w:r w:rsidRPr="00853722">
        <w:rPr>
          <w:sz w:val="20"/>
          <w:szCs w:val="20"/>
        </w:rPr>
        <w:t>) semelhantes quando uma dose de 250 mg/m</w:t>
      </w:r>
      <w:r w:rsidRPr="0065295E">
        <w:rPr>
          <w:sz w:val="20"/>
          <w:szCs w:val="20"/>
          <w:vertAlign w:val="superscript"/>
        </w:rPr>
        <w:t>2</w:t>
      </w:r>
      <w:r w:rsidRPr="00853722">
        <w:rPr>
          <w:sz w:val="20"/>
          <w:szCs w:val="20"/>
        </w:rPr>
        <w:t xml:space="preserve"> foi substituída por 5mg/kg, e uma dose de 500 mg/m</w:t>
      </w:r>
      <w:r w:rsidRPr="0065295E">
        <w:rPr>
          <w:sz w:val="20"/>
          <w:szCs w:val="20"/>
          <w:vertAlign w:val="superscript"/>
        </w:rPr>
        <w:t>2</w:t>
      </w:r>
      <w:r w:rsidRPr="00853722">
        <w:rPr>
          <w:sz w:val="20"/>
          <w:szCs w:val="20"/>
        </w:rPr>
        <w:t xml:space="preserve"> foi substituída por 10 mg/kg. Em recém-nascidos (0-3 meses de vida) tratados com doses de 10 mg/kg, administradas por um período de infusão de uma hora a cada oito horas, a C</w:t>
      </w:r>
      <w:r w:rsidRPr="002E5C76">
        <w:rPr>
          <w:sz w:val="20"/>
          <w:szCs w:val="20"/>
          <w:vertAlign w:val="subscript"/>
        </w:rPr>
        <w:t>máx</w:t>
      </w:r>
      <w:r w:rsidRPr="00853722">
        <w:rPr>
          <w:sz w:val="20"/>
          <w:szCs w:val="20"/>
        </w:rPr>
        <w:t xml:space="preserve"> verificada foi de 61,2 μM (13,8 μg/mL) e a C</w:t>
      </w:r>
      <w:r w:rsidRPr="002E5C76">
        <w:rPr>
          <w:sz w:val="20"/>
          <w:szCs w:val="20"/>
          <w:vertAlign w:val="subscript"/>
        </w:rPr>
        <w:t>mín</w:t>
      </w:r>
      <w:r>
        <w:rPr>
          <w:sz w:val="20"/>
          <w:szCs w:val="20"/>
        </w:rPr>
        <w:t>, de 10,1 μM (2,3 μg/mL).</w:t>
      </w:r>
    </w:p>
    <w:p w14:paraId="046753FC" w14:textId="095BA4D7" w:rsidR="00936AA7" w:rsidRDefault="00936AA7" w:rsidP="00936AA7">
      <w:pPr>
        <w:pStyle w:val="Default"/>
        <w:spacing w:line="276" w:lineRule="auto"/>
        <w:jc w:val="both"/>
        <w:rPr>
          <w:sz w:val="20"/>
          <w:szCs w:val="20"/>
        </w:rPr>
      </w:pPr>
      <w:r w:rsidRPr="00946E61">
        <w:rPr>
          <w:sz w:val="20"/>
          <w:szCs w:val="20"/>
        </w:rPr>
        <w:t>Um grupo separado</w:t>
      </w:r>
      <w:r w:rsidR="000F43D4">
        <w:rPr>
          <w:sz w:val="20"/>
          <w:szCs w:val="20"/>
        </w:rPr>
        <w:t xml:space="preserve"> de recém-</w:t>
      </w:r>
      <w:r w:rsidRPr="00946E61">
        <w:rPr>
          <w:sz w:val="20"/>
          <w:szCs w:val="20"/>
        </w:rPr>
        <w:t>nascidos tratados com 15</w:t>
      </w:r>
      <w:r w:rsidR="000F43D4">
        <w:rPr>
          <w:sz w:val="20"/>
          <w:szCs w:val="20"/>
        </w:rPr>
        <w:t xml:space="preserve"> </w:t>
      </w:r>
      <w:r w:rsidRPr="00946E61">
        <w:rPr>
          <w:sz w:val="20"/>
          <w:szCs w:val="20"/>
        </w:rPr>
        <w:t>mg/kg a cada 8 horas apresentou aumento de dose proporcional aproximado, com um</w:t>
      </w:r>
      <w:r w:rsidR="000F43D4">
        <w:rPr>
          <w:sz w:val="20"/>
          <w:szCs w:val="20"/>
        </w:rPr>
        <w:t>a</w:t>
      </w:r>
      <w:r w:rsidRPr="00946E61">
        <w:rPr>
          <w:sz w:val="20"/>
          <w:szCs w:val="20"/>
        </w:rPr>
        <w:t xml:space="preserve"> C</w:t>
      </w:r>
      <w:r w:rsidRPr="00946E61">
        <w:rPr>
          <w:position w:val="-8"/>
          <w:sz w:val="20"/>
          <w:szCs w:val="20"/>
          <w:vertAlign w:val="subscript"/>
        </w:rPr>
        <w:t xml:space="preserve">máx </w:t>
      </w:r>
      <w:r w:rsidRPr="00946E61">
        <w:rPr>
          <w:sz w:val="20"/>
          <w:szCs w:val="20"/>
        </w:rPr>
        <w:t>de 83,5 μM (18,8 μg/mL) e C</w:t>
      </w:r>
      <w:r w:rsidRPr="00946E61">
        <w:rPr>
          <w:position w:val="-8"/>
          <w:sz w:val="20"/>
          <w:szCs w:val="20"/>
          <w:vertAlign w:val="subscript"/>
        </w:rPr>
        <w:t xml:space="preserve">min </w:t>
      </w:r>
      <w:r w:rsidRPr="00946E61">
        <w:rPr>
          <w:sz w:val="20"/>
          <w:szCs w:val="20"/>
        </w:rPr>
        <w:t>de 14,1 μM (3,2 μg/mL).</w:t>
      </w:r>
    </w:p>
    <w:p w14:paraId="0B0DA0A6" w14:textId="77777777" w:rsidR="00936AA7" w:rsidRPr="00853722" w:rsidRDefault="00936AA7" w:rsidP="00936AA7">
      <w:pPr>
        <w:pStyle w:val="Default"/>
        <w:spacing w:line="280" w:lineRule="atLeast"/>
        <w:jc w:val="both"/>
        <w:rPr>
          <w:sz w:val="20"/>
          <w:szCs w:val="20"/>
        </w:rPr>
      </w:pPr>
    </w:p>
    <w:p w14:paraId="24D8B954" w14:textId="77777777" w:rsidR="00936AA7" w:rsidRPr="00853722" w:rsidRDefault="00936AA7" w:rsidP="00936AA7">
      <w:pPr>
        <w:pStyle w:val="Default"/>
        <w:spacing w:line="280" w:lineRule="atLeast"/>
        <w:jc w:val="both"/>
        <w:rPr>
          <w:sz w:val="20"/>
          <w:szCs w:val="20"/>
        </w:rPr>
      </w:pPr>
      <w:r w:rsidRPr="00853722">
        <w:rPr>
          <w:b/>
          <w:bCs/>
          <w:sz w:val="20"/>
          <w:szCs w:val="20"/>
        </w:rPr>
        <w:t>Distribuição</w:t>
      </w:r>
    </w:p>
    <w:p w14:paraId="294A87C2" w14:textId="77777777" w:rsidR="00936AA7" w:rsidRDefault="00936AA7" w:rsidP="00936AA7">
      <w:pPr>
        <w:pStyle w:val="Default"/>
        <w:spacing w:line="280" w:lineRule="atLeast"/>
        <w:jc w:val="both"/>
        <w:rPr>
          <w:sz w:val="20"/>
          <w:szCs w:val="20"/>
        </w:rPr>
      </w:pPr>
      <w:r w:rsidRPr="00853722">
        <w:rPr>
          <w:sz w:val="20"/>
          <w:szCs w:val="20"/>
        </w:rPr>
        <w:t>Os níveis do fluido cérebro-espinhal são de aproximadamente 50% dos níveis plasmáticos correspondentes. A ligação às proteínas plasmáticas é relativamente baixa (9 a 33%), e não estão previstas interações medicamentosas que envolvam deslocamento do síti</w:t>
      </w:r>
      <w:r>
        <w:rPr>
          <w:sz w:val="20"/>
          <w:szCs w:val="20"/>
        </w:rPr>
        <w:t>o de ligação.</w:t>
      </w:r>
    </w:p>
    <w:p w14:paraId="2B46F8D1" w14:textId="77777777" w:rsidR="00936AA7" w:rsidRPr="00853722" w:rsidRDefault="00936AA7" w:rsidP="00936AA7">
      <w:pPr>
        <w:pStyle w:val="Default"/>
        <w:spacing w:line="280" w:lineRule="atLeast"/>
        <w:jc w:val="both"/>
        <w:rPr>
          <w:sz w:val="20"/>
          <w:szCs w:val="20"/>
        </w:rPr>
      </w:pPr>
    </w:p>
    <w:p w14:paraId="5CC42D82" w14:textId="77777777" w:rsidR="00936AA7" w:rsidRPr="00853722" w:rsidRDefault="00936AA7" w:rsidP="00936AA7">
      <w:pPr>
        <w:pStyle w:val="Default"/>
        <w:spacing w:line="280" w:lineRule="atLeast"/>
        <w:jc w:val="both"/>
        <w:rPr>
          <w:sz w:val="20"/>
          <w:szCs w:val="20"/>
        </w:rPr>
      </w:pPr>
      <w:r w:rsidRPr="00853722">
        <w:rPr>
          <w:b/>
          <w:bCs/>
          <w:sz w:val="20"/>
          <w:szCs w:val="20"/>
        </w:rPr>
        <w:t>Eliminação</w:t>
      </w:r>
    </w:p>
    <w:p w14:paraId="6D12CE48" w14:textId="77777777" w:rsidR="00936AA7" w:rsidRPr="00853722" w:rsidRDefault="00936AA7" w:rsidP="00936AA7">
      <w:pPr>
        <w:pStyle w:val="Default"/>
        <w:spacing w:line="280" w:lineRule="atLeast"/>
        <w:jc w:val="both"/>
        <w:rPr>
          <w:sz w:val="20"/>
          <w:szCs w:val="20"/>
        </w:rPr>
      </w:pPr>
      <w:r w:rsidRPr="00853722">
        <w:rPr>
          <w:sz w:val="20"/>
          <w:szCs w:val="20"/>
        </w:rPr>
        <w:t xml:space="preserve">Em adultos, a meia-vida plasmática final do aciclovir, após administração de </w:t>
      </w:r>
      <w:r w:rsidRPr="002E5C76">
        <w:rPr>
          <w:bCs/>
          <w:sz w:val="20"/>
          <w:szCs w:val="20"/>
        </w:rPr>
        <w:t>aciclovir IV</w:t>
      </w:r>
      <w:r w:rsidRPr="00853722">
        <w:rPr>
          <w:b/>
          <w:bCs/>
          <w:sz w:val="20"/>
          <w:szCs w:val="20"/>
        </w:rPr>
        <w:t xml:space="preserve"> </w:t>
      </w:r>
      <w:r w:rsidRPr="00853722">
        <w:rPr>
          <w:sz w:val="20"/>
          <w:szCs w:val="20"/>
        </w:rPr>
        <w:t xml:space="preserve">por infusão, é de aproximadamente 2,9 horas. A maior parte da droga é excretada inalterada pelos rins. O </w:t>
      </w:r>
      <w:r w:rsidRPr="00853722">
        <w:rPr>
          <w:i/>
          <w:iCs/>
          <w:sz w:val="20"/>
          <w:szCs w:val="20"/>
        </w:rPr>
        <w:t xml:space="preserve">clearance </w:t>
      </w:r>
      <w:r w:rsidRPr="00853722">
        <w:rPr>
          <w:sz w:val="20"/>
          <w:szCs w:val="20"/>
        </w:rPr>
        <w:t xml:space="preserve">renal do aciclovir é substancialmente superior ao da creatinina, indicando que a secreção tubular, além da filtração glomerular, contribui para a eliminação renal da droga. A 9-carboximetoximetilguanina é o único metabólito significativo do aciclovir, responsável por 10-15% da dose excretada na urina. Quando o aciclovir é administrado uma hora após 1 g de probenecida, a meia-vida final e a área sob a curva de tempo da concentração plasmática estendem-se para 18% e 40%, respectivamente. </w:t>
      </w:r>
    </w:p>
    <w:p w14:paraId="05809C3E" w14:textId="77777777" w:rsidR="00936AA7" w:rsidRDefault="00936AA7" w:rsidP="00936AA7">
      <w:pPr>
        <w:pStyle w:val="Default"/>
        <w:spacing w:line="280" w:lineRule="atLeast"/>
        <w:jc w:val="both"/>
        <w:rPr>
          <w:sz w:val="20"/>
          <w:szCs w:val="20"/>
        </w:rPr>
      </w:pPr>
      <w:r w:rsidRPr="00853722">
        <w:rPr>
          <w:sz w:val="20"/>
          <w:szCs w:val="20"/>
        </w:rPr>
        <w:t>Em recém-nascidos (0 a 3 meses de vida) tratados com 10 mg/kg administrados por infusão, durante um período de uma hora a cada oito horas, o tempo de meia-</w:t>
      </w:r>
      <w:r>
        <w:rPr>
          <w:sz w:val="20"/>
          <w:szCs w:val="20"/>
        </w:rPr>
        <w:t>vida terminal foi de 3,8 horas.</w:t>
      </w:r>
    </w:p>
    <w:p w14:paraId="31F6A235" w14:textId="77777777" w:rsidR="00936AA7" w:rsidRPr="00853722" w:rsidRDefault="00936AA7" w:rsidP="00936AA7">
      <w:pPr>
        <w:pStyle w:val="Default"/>
        <w:spacing w:line="280" w:lineRule="atLeast"/>
        <w:jc w:val="both"/>
        <w:rPr>
          <w:sz w:val="20"/>
          <w:szCs w:val="20"/>
        </w:rPr>
      </w:pPr>
    </w:p>
    <w:p w14:paraId="5DB9A11F" w14:textId="77777777" w:rsidR="00936AA7" w:rsidRPr="00853722" w:rsidRDefault="00936AA7" w:rsidP="00936AA7">
      <w:pPr>
        <w:pStyle w:val="Default"/>
        <w:spacing w:line="280" w:lineRule="atLeast"/>
        <w:jc w:val="both"/>
        <w:rPr>
          <w:sz w:val="20"/>
          <w:szCs w:val="20"/>
        </w:rPr>
      </w:pPr>
      <w:r w:rsidRPr="00853722">
        <w:rPr>
          <w:b/>
          <w:bCs/>
          <w:sz w:val="20"/>
          <w:szCs w:val="20"/>
        </w:rPr>
        <w:t>Populações de pacientes especiais</w:t>
      </w:r>
    </w:p>
    <w:p w14:paraId="3567023F" w14:textId="77777777" w:rsidR="00936AA7" w:rsidRPr="00853722" w:rsidRDefault="00936AA7" w:rsidP="00936AA7">
      <w:pPr>
        <w:pStyle w:val="Default"/>
        <w:spacing w:line="280" w:lineRule="atLeast"/>
        <w:jc w:val="both"/>
        <w:rPr>
          <w:sz w:val="20"/>
          <w:szCs w:val="20"/>
        </w:rPr>
      </w:pPr>
      <w:r w:rsidRPr="00853722">
        <w:rPr>
          <w:sz w:val="20"/>
          <w:szCs w:val="20"/>
        </w:rPr>
        <w:t>Em pacientes com insuficiência renal crônica, verificou-se que a meia-vida final foi de 19,5 horas. A meia-vida média do aciclovir durante a hemodiálise foi de 5,7 horas. Os níveis plasmáticos de aciclovir caíram aproxim</w:t>
      </w:r>
      <w:r>
        <w:rPr>
          <w:sz w:val="20"/>
          <w:szCs w:val="20"/>
        </w:rPr>
        <w:t>adamente 60% durante a diálise.</w:t>
      </w:r>
    </w:p>
    <w:p w14:paraId="4BCDF883" w14:textId="77777777" w:rsidR="00936AA7" w:rsidRPr="00853722" w:rsidRDefault="00936AA7" w:rsidP="00936AA7">
      <w:pPr>
        <w:pStyle w:val="Default"/>
        <w:spacing w:line="280" w:lineRule="atLeast"/>
        <w:jc w:val="both"/>
        <w:rPr>
          <w:sz w:val="20"/>
          <w:szCs w:val="20"/>
        </w:rPr>
      </w:pPr>
      <w:r w:rsidRPr="00853722">
        <w:rPr>
          <w:sz w:val="20"/>
          <w:szCs w:val="20"/>
        </w:rPr>
        <w:t xml:space="preserve">Em idosos, o </w:t>
      </w:r>
      <w:r w:rsidRPr="00853722">
        <w:rPr>
          <w:i/>
          <w:iCs/>
          <w:sz w:val="20"/>
          <w:szCs w:val="20"/>
        </w:rPr>
        <w:t xml:space="preserve">clearance </w:t>
      </w:r>
      <w:r w:rsidRPr="00853722">
        <w:rPr>
          <w:sz w:val="20"/>
          <w:szCs w:val="20"/>
        </w:rPr>
        <w:t xml:space="preserve">corporal total cai com o aumento da idade, associado à diminuição no </w:t>
      </w:r>
      <w:r w:rsidRPr="00853722">
        <w:rPr>
          <w:i/>
          <w:iCs/>
          <w:sz w:val="20"/>
          <w:szCs w:val="20"/>
        </w:rPr>
        <w:t xml:space="preserve">clearance </w:t>
      </w:r>
      <w:r w:rsidRPr="00853722">
        <w:rPr>
          <w:sz w:val="20"/>
          <w:szCs w:val="20"/>
        </w:rPr>
        <w:t>da creatinina, apesar de haver pouca alteração</w:t>
      </w:r>
      <w:r>
        <w:rPr>
          <w:sz w:val="20"/>
          <w:szCs w:val="20"/>
        </w:rPr>
        <w:t xml:space="preserve"> na meia-vida plasmática final.</w:t>
      </w:r>
    </w:p>
    <w:p w14:paraId="37C39A53" w14:textId="77777777" w:rsidR="00936AA7" w:rsidRPr="00853722" w:rsidRDefault="00936AA7" w:rsidP="00936AA7">
      <w:pPr>
        <w:pStyle w:val="Default"/>
        <w:spacing w:line="280" w:lineRule="atLeast"/>
        <w:jc w:val="both"/>
        <w:rPr>
          <w:sz w:val="20"/>
          <w:szCs w:val="20"/>
        </w:rPr>
      </w:pPr>
      <w:r w:rsidRPr="00853722">
        <w:rPr>
          <w:sz w:val="20"/>
          <w:szCs w:val="20"/>
        </w:rPr>
        <w:t>Os estudos não demonstraram alterações no comportamento farmacocinético do aciclovir ou da zidovudina quando ambos foram administrados simultaneamente a pa</w:t>
      </w:r>
      <w:r>
        <w:rPr>
          <w:sz w:val="20"/>
          <w:szCs w:val="20"/>
        </w:rPr>
        <w:t>cientes infectados pelo HIV.</w:t>
      </w:r>
    </w:p>
    <w:p w14:paraId="660428BC" w14:textId="77777777" w:rsidR="00936AA7" w:rsidRDefault="00936AA7" w:rsidP="00936AA7">
      <w:pPr>
        <w:pStyle w:val="Default"/>
        <w:spacing w:line="280" w:lineRule="atLeast"/>
        <w:jc w:val="both"/>
        <w:rPr>
          <w:b/>
          <w:bCs/>
          <w:sz w:val="20"/>
          <w:szCs w:val="20"/>
        </w:rPr>
      </w:pPr>
    </w:p>
    <w:p w14:paraId="489B922F" w14:textId="77777777" w:rsidR="00936AA7" w:rsidRPr="00853722" w:rsidRDefault="00936AA7" w:rsidP="00936AA7">
      <w:pPr>
        <w:pStyle w:val="Default"/>
        <w:spacing w:line="280" w:lineRule="atLeast"/>
        <w:jc w:val="both"/>
        <w:rPr>
          <w:sz w:val="20"/>
          <w:szCs w:val="20"/>
        </w:rPr>
      </w:pPr>
      <w:r w:rsidRPr="00853722">
        <w:rPr>
          <w:b/>
          <w:bCs/>
          <w:sz w:val="20"/>
          <w:szCs w:val="20"/>
        </w:rPr>
        <w:t xml:space="preserve">4. CONTRAINDICAÇÕES </w:t>
      </w:r>
    </w:p>
    <w:p w14:paraId="1343DF68" w14:textId="77777777" w:rsidR="00936AA7" w:rsidRPr="00853722" w:rsidRDefault="00936AA7" w:rsidP="00936AA7">
      <w:pPr>
        <w:pStyle w:val="Default"/>
        <w:spacing w:line="280" w:lineRule="atLeast"/>
        <w:jc w:val="both"/>
        <w:rPr>
          <w:sz w:val="20"/>
          <w:szCs w:val="20"/>
        </w:rPr>
      </w:pPr>
      <w:r w:rsidRPr="00853722">
        <w:rPr>
          <w:bCs/>
          <w:sz w:val="20"/>
          <w:szCs w:val="20"/>
        </w:rPr>
        <w:t>HERVIRAX</w:t>
      </w:r>
      <w:r w:rsidRPr="00853722">
        <w:rPr>
          <w:b/>
          <w:bCs/>
          <w:sz w:val="20"/>
          <w:szCs w:val="20"/>
        </w:rPr>
        <w:t xml:space="preserve"> </w:t>
      </w:r>
      <w:r w:rsidRPr="00853722">
        <w:rPr>
          <w:sz w:val="20"/>
          <w:szCs w:val="20"/>
        </w:rPr>
        <w:t xml:space="preserve">é contraindicado a pacientes com conhecida hipersensibilidade ao aciclovir ou ao valaciclovir. </w:t>
      </w:r>
    </w:p>
    <w:p w14:paraId="2DDE5374" w14:textId="77777777" w:rsidR="00936AA7" w:rsidRDefault="00936AA7" w:rsidP="00936AA7">
      <w:pPr>
        <w:pStyle w:val="Default"/>
        <w:spacing w:line="280" w:lineRule="atLeast"/>
        <w:jc w:val="both"/>
        <w:rPr>
          <w:b/>
          <w:bCs/>
          <w:sz w:val="20"/>
          <w:szCs w:val="20"/>
        </w:rPr>
      </w:pPr>
    </w:p>
    <w:p w14:paraId="4534453C" w14:textId="77777777" w:rsidR="00936AA7" w:rsidRPr="00846B20" w:rsidRDefault="00936AA7" w:rsidP="00936AA7">
      <w:pPr>
        <w:pStyle w:val="Default"/>
        <w:spacing w:line="280" w:lineRule="atLeast"/>
        <w:jc w:val="both"/>
        <w:rPr>
          <w:sz w:val="20"/>
          <w:szCs w:val="20"/>
        </w:rPr>
      </w:pPr>
      <w:r w:rsidRPr="00846B20">
        <w:rPr>
          <w:b/>
          <w:bCs/>
          <w:sz w:val="20"/>
          <w:szCs w:val="20"/>
        </w:rPr>
        <w:t xml:space="preserve">5. ADVERTÊNCIAS E PRECAUÇÕES </w:t>
      </w:r>
    </w:p>
    <w:p w14:paraId="0150DC34" w14:textId="0A79D4E7" w:rsidR="00936AA7" w:rsidRPr="00846B20" w:rsidRDefault="00936AA7" w:rsidP="00936AA7">
      <w:pPr>
        <w:pStyle w:val="Default"/>
        <w:spacing w:line="280" w:lineRule="atLeast"/>
        <w:jc w:val="both"/>
        <w:rPr>
          <w:sz w:val="20"/>
          <w:szCs w:val="20"/>
        </w:rPr>
      </w:pPr>
      <w:r w:rsidRPr="00846B20">
        <w:rPr>
          <w:b/>
          <w:bCs/>
          <w:sz w:val="20"/>
          <w:szCs w:val="20"/>
        </w:rPr>
        <w:t>Pacientes c</w:t>
      </w:r>
      <w:r w:rsidR="00C645E2">
        <w:rPr>
          <w:b/>
          <w:bCs/>
          <w:sz w:val="20"/>
          <w:szCs w:val="20"/>
        </w:rPr>
        <w:t>om insuficiência renal e idosos</w:t>
      </w:r>
      <w:r w:rsidRPr="00846B20">
        <w:rPr>
          <w:b/>
          <w:bCs/>
          <w:sz w:val="20"/>
          <w:szCs w:val="20"/>
        </w:rPr>
        <w:t xml:space="preserve"> </w:t>
      </w:r>
    </w:p>
    <w:p w14:paraId="161C5C5C" w14:textId="77777777" w:rsidR="00936AA7" w:rsidRPr="00846B20" w:rsidRDefault="00936AA7" w:rsidP="00936AA7">
      <w:pPr>
        <w:pStyle w:val="Default"/>
        <w:spacing w:line="280" w:lineRule="atLeast"/>
        <w:jc w:val="both"/>
        <w:rPr>
          <w:sz w:val="20"/>
          <w:szCs w:val="20"/>
        </w:rPr>
      </w:pPr>
      <w:r w:rsidRPr="00846B20">
        <w:rPr>
          <w:sz w:val="20"/>
          <w:szCs w:val="20"/>
        </w:rPr>
        <w:t xml:space="preserve">O aciclovir é eliminado por </w:t>
      </w:r>
      <w:r w:rsidRPr="00846B20">
        <w:rPr>
          <w:i/>
          <w:iCs/>
          <w:sz w:val="20"/>
          <w:szCs w:val="20"/>
        </w:rPr>
        <w:t xml:space="preserve">clearance </w:t>
      </w:r>
      <w:r w:rsidRPr="00846B20">
        <w:rPr>
          <w:sz w:val="20"/>
          <w:szCs w:val="20"/>
        </w:rPr>
        <w:t>renal e por isso, a dose deve ser reduzida em pacientes com insuficiência renal (ver Posologia e Modo de uso</w:t>
      </w:r>
      <w:r w:rsidRPr="00655F9C">
        <w:rPr>
          <w:iCs/>
          <w:sz w:val="20"/>
          <w:szCs w:val="20"/>
        </w:rPr>
        <w:t>)</w:t>
      </w:r>
      <w:r w:rsidRPr="00846B20">
        <w:rPr>
          <w:i/>
          <w:iCs/>
          <w:sz w:val="20"/>
          <w:szCs w:val="20"/>
        </w:rPr>
        <w:t xml:space="preserve">. </w:t>
      </w:r>
      <w:r w:rsidRPr="00846B20">
        <w:rPr>
          <w:sz w:val="20"/>
          <w:szCs w:val="20"/>
        </w:rPr>
        <w:t xml:space="preserve">Para idosos, deve ser considerada a redução na dosagem, uma vez que estes pacientes normalmente têm a função renal reduzida. </w:t>
      </w:r>
    </w:p>
    <w:p w14:paraId="590FE201" w14:textId="77777777" w:rsidR="00936AA7" w:rsidRPr="00846B20" w:rsidRDefault="00936AA7" w:rsidP="00936AA7">
      <w:pPr>
        <w:pStyle w:val="Default"/>
        <w:spacing w:line="280" w:lineRule="atLeast"/>
        <w:jc w:val="both"/>
        <w:rPr>
          <w:sz w:val="20"/>
          <w:szCs w:val="20"/>
        </w:rPr>
      </w:pPr>
      <w:r w:rsidRPr="00846B20">
        <w:rPr>
          <w:sz w:val="20"/>
          <w:szCs w:val="20"/>
        </w:rPr>
        <w:t xml:space="preserve">Tanto pacientes com insuficiência renal quanto idosos têm risco aumentado de desenvolver efeitos adversos neurológicos, e devem ser monitorados cuidadosamente. </w:t>
      </w:r>
    </w:p>
    <w:p w14:paraId="515E28A0" w14:textId="77777777" w:rsidR="00936AA7" w:rsidRPr="00846B20" w:rsidRDefault="00936AA7" w:rsidP="00936AA7">
      <w:pPr>
        <w:pStyle w:val="Default"/>
        <w:spacing w:line="280" w:lineRule="atLeast"/>
        <w:jc w:val="both"/>
        <w:rPr>
          <w:sz w:val="20"/>
          <w:szCs w:val="20"/>
        </w:rPr>
      </w:pPr>
      <w:r w:rsidRPr="00846B20">
        <w:rPr>
          <w:sz w:val="20"/>
          <w:szCs w:val="20"/>
        </w:rPr>
        <w:t xml:space="preserve">Em casos reportados, essas reações foram geralmente reversíveis com a descontinuação do tratamento </w:t>
      </w:r>
      <w:r>
        <w:rPr>
          <w:sz w:val="20"/>
          <w:szCs w:val="20"/>
        </w:rPr>
        <w:t>(ver Reações Adversas).</w:t>
      </w:r>
    </w:p>
    <w:p w14:paraId="244965A2" w14:textId="77777777" w:rsidR="00936AA7" w:rsidRPr="00846B20" w:rsidRDefault="00936AA7" w:rsidP="00936AA7">
      <w:pPr>
        <w:pStyle w:val="Default"/>
        <w:spacing w:line="280" w:lineRule="atLeast"/>
        <w:jc w:val="both"/>
        <w:rPr>
          <w:sz w:val="20"/>
          <w:szCs w:val="20"/>
        </w:rPr>
      </w:pPr>
      <w:r w:rsidRPr="00846B20">
        <w:rPr>
          <w:sz w:val="20"/>
          <w:szCs w:val="20"/>
        </w:rPr>
        <w:t>Deve-se manter a hidratação adequada em pacientes que estejam rece</w:t>
      </w:r>
      <w:r>
        <w:rPr>
          <w:sz w:val="20"/>
          <w:szCs w:val="20"/>
        </w:rPr>
        <w:t>bendo altas doses de aciclovir.</w:t>
      </w:r>
    </w:p>
    <w:p w14:paraId="2ECCB3B8" w14:textId="77777777" w:rsidR="00936AA7" w:rsidRDefault="00936AA7" w:rsidP="00936AA7">
      <w:pPr>
        <w:pStyle w:val="Default"/>
        <w:spacing w:line="280" w:lineRule="atLeast"/>
        <w:jc w:val="both"/>
        <w:rPr>
          <w:b/>
          <w:bCs/>
          <w:sz w:val="20"/>
          <w:szCs w:val="20"/>
        </w:rPr>
      </w:pPr>
    </w:p>
    <w:p w14:paraId="7E1778B3" w14:textId="77777777" w:rsidR="00936AA7" w:rsidRPr="00846B20" w:rsidRDefault="00936AA7" w:rsidP="00936AA7">
      <w:pPr>
        <w:pStyle w:val="Default"/>
        <w:spacing w:line="280" w:lineRule="atLeast"/>
        <w:jc w:val="both"/>
        <w:rPr>
          <w:sz w:val="20"/>
          <w:szCs w:val="20"/>
        </w:rPr>
      </w:pPr>
      <w:r w:rsidRPr="00846B20">
        <w:rPr>
          <w:b/>
          <w:bCs/>
          <w:sz w:val="20"/>
          <w:szCs w:val="20"/>
        </w:rPr>
        <w:t xml:space="preserve">Efeitos sobre a capacidade de dirigir veículos e operar máquinas </w:t>
      </w:r>
    </w:p>
    <w:p w14:paraId="657E6994" w14:textId="75433E58" w:rsidR="00936AA7" w:rsidRPr="00846B20" w:rsidRDefault="00936AA7" w:rsidP="00936AA7">
      <w:pPr>
        <w:pStyle w:val="Default"/>
        <w:spacing w:line="280" w:lineRule="atLeast"/>
        <w:jc w:val="both"/>
        <w:rPr>
          <w:sz w:val="20"/>
          <w:szCs w:val="20"/>
        </w:rPr>
      </w:pPr>
      <w:r w:rsidRPr="00846B20">
        <w:rPr>
          <w:sz w:val="20"/>
          <w:szCs w:val="20"/>
        </w:rPr>
        <w:lastRenderedPageBreak/>
        <w:t xml:space="preserve">Deve-se levar em conta o estado clínico do paciente e o perfil dos eventos adversos já descritos para o </w:t>
      </w:r>
      <w:r w:rsidR="0074392A">
        <w:rPr>
          <w:bCs/>
          <w:sz w:val="20"/>
          <w:szCs w:val="20"/>
        </w:rPr>
        <w:t>aciclovir</w:t>
      </w:r>
      <w:r w:rsidRPr="00846B20">
        <w:rPr>
          <w:sz w:val="20"/>
          <w:szCs w:val="20"/>
        </w:rPr>
        <w:t xml:space="preserve">, quando considerar a habilidade do paciente em dirigir e operar máquinas. Não existem estudos para investigar os efeitos do aciclovir na habilidade de dirigir ou operar máquinas. Um efeito prejudicial sobre estas atividades não pode ser previsto a partir da farmacologia da droga. </w:t>
      </w:r>
    </w:p>
    <w:p w14:paraId="3DA54B07" w14:textId="77777777" w:rsidR="00936AA7" w:rsidRDefault="00936AA7" w:rsidP="00936AA7">
      <w:pPr>
        <w:pStyle w:val="Default"/>
        <w:spacing w:line="280" w:lineRule="atLeast"/>
        <w:jc w:val="both"/>
        <w:rPr>
          <w:b/>
          <w:bCs/>
          <w:sz w:val="20"/>
          <w:szCs w:val="20"/>
        </w:rPr>
      </w:pPr>
    </w:p>
    <w:p w14:paraId="093C137A" w14:textId="77777777" w:rsidR="00936AA7" w:rsidRPr="00846B20" w:rsidRDefault="00936AA7" w:rsidP="00936AA7">
      <w:pPr>
        <w:pStyle w:val="Default"/>
        <w:spacing w:line="280" w:lineRule="atLeast"/>
        <w:jc w:val="both"/>
        <w:rPr>
          <w:b/>
          <w:bCs/>
          <w:sz w:val="20"/>
          <w:szCs w:val="20"/>
        </w:rPr>
      </w:pPr>
      <w:r w:rsidRPr="00846B20">
        <w:rPr>
          <w:b/>
          <w:bCs/>
          <w:sz w:val="20"/>
          <w:szCs w:val="20"/>
        </w:rPr>
        <w:t>Gravidez e Lactação</w:t>
      </w:r>
    </w:p>
    <w:p w14:paraId="60C3F12E" w14:textId="0037293C" w:rsidR="00936AA7" w:rsidRPr="00846B20" w:rsidRDefault="004448E1" w:rsidP="00936AA7">
      <w:pPr>
        <w:pStyle w:val="Default"/>
        <w:spacing w:line="280" w:lineRule="atLeast"/>
        <w:jc w:val="both"/>
        <w:rPr>
          <w:sz w:val="20"/>
          <w:szCs w:val="20"/>
        </w:rPr>
      </w:pPr>
      <w:r>
        <w:rPr>
          <w:sz w:val="20"/>
          <w:szCs w:val="20"/>
        </w:rPr>
        <w:t xml:space="preserve">O uso comercial deste medicamento </w:t>
      </w:r>
      <w:r w:rsidR="00936AA7" w:rsidRPr="00846B20">
        <w:rPr>
          <w:sz w:val="20"/>
          <w:szCs w:val="20"/>
        </w:rPr>
        <w:t xml:space="preserve">tem produzido registros do uso de formulações de </w:t>
      </w:r>
      <w:r w:rsidR="002034F6">
        <w:rPr>
          <w:bCs/>
          <w:sz w:val="20"/>
          <w:szCs w:val="20"/>
        </w:rPr>
        <w:t>aciclovir</w:t>
      </w:r>
      <w:r w:rsidR="00936AA7" w:rsidRPr="00846B20">
        <w:rPr>
          <w:sz w:val="20"/>
          <w:szCs w:val="20"/>
        </w:rPr>
        <w:t xml:space="preserve"> durante a gravidez. Os dados encontrados não demonstraram aumento no número de defeitos congênitos nos indivíduos expostos a </w:t>
      </w:r>
      <w:r w:rsidR="0074392A">
        <w:rPr>
          <w:bCs/>
          <w:sz w:val="20"/>
          <w:szCs w:val="20"/>
        </w:rPr>
        <w:t>aciclovir</w:t>
      </w:r>
      <w:r w:rsidR="00936AA7" w:rsidRPr="00846B20">
        <w:rPr>
          <w:sz w:val="20"/>
          <w:szCs w:val="20"/>
        </w:rPr>
        <w:t xml:space="preserve">, quando comparados à população em geral. E nenhum desses defeitos congênitos mostrou um padrão único ou consistente que pudesse sugerir uma causa comum. </w:t>
      </w:r>
    </w:p>
    <w:p w14:paraId="580864F3" w14:textId="77777777" w:rsidR="00936AA7" w:rsidRPr="00846B20" w:rsidRDefault="00936AA7" w:rsidP="00936AA7">
      <w:pPr>
        <w:pStyle w:val="Default"/>
        <w:spacing w:line="280" w:lineRule="atLeast"/>
        <w:jc w:val="both"/>
        <w:rPr>
          <w:sz w:val="20"/>
          <w:szCs w:val="20"/>
        </w:rPr>
      </w:pPr>
      <w:r w:rsidRPr="00846B20">
        <w:rPr>
          <w:sz w:val="20"/>
          <w:szCs w:val="20"/>
        </w:rPr>
        <w:t xml:space="preserve">O uso de </w:t>
      </w:r>
      <w:r w:rsidRPr="00846B20">
        <w:rPr>
          <w:bCs/>
          <w:sz w:val="20"/>
          <w:szCs w:val="20"/>
        </w:rPr>
        <w:t>HERVIRAX</w:t>
      </w:r>
      <w:r w:rsidRPr="00846B20">
        <w:rPr>
          <w:sz w:val="20"/>
          <w:szCs w:val="20"/>
        </w:rPr>
        <w:t xml:space="preserve"> deve ser considerado apenas quando o benefício potencial for maior que a possibilidade de riscos para o feto. </w:t>
      </w:r>
    </w:p>
    <w:p w14:paraId="5515A60D" w14:textId="77777777" w:rsidR="00936AA7" w:rsidRPr="00846B20" w:rsidRDefault="00936AA7" w:rsidP="00936AA7">
      <w:pPr>
        <w:pStyle w:val="Default"/>
        <w:spacing w:line="280" w:lineRule="atLeast"/>
        <w:jc w:val="both"/>
        <w:rPr>
          <w:sz w:val="20"/>
          <w:szCs w:val="20"/>
        </w:rPr>
      </w:pPr>
      <w:r w:rsidRPr="00846B20">
        <w:rPr>
          <w:sz w:val="20"/>
          <w:szCs w:val="20"/>
        </w:rPr>
        <w:t xml:space="preserve">Após administração oral de 200 mg de aciclovir, cinco vezes ao dia, foi detectado aciclovir no leite materno em concentrações variando entre 0,6 a 4,1 vezes os níveis plasmáticos correspondentes. Esses níveis poderiam, potencialmente, expor os lactentes a doses de aciclovir de até 0,3 mg/kg/dia. Deve-se tomar cuidado caso </w:t>
      </w:r>
      <w:r w:rsidRPr="00846B20">
        <w:rPr>
          <w:bCs/>
          <w:sz w:val="20"/>
          <w:szCs w:val="20"/>
        </w:rPr>
        <w:t>HERVIRAX</w:t>
      </w:r>
      <w:r w:rsidRPr="00846B20">
        <w:rPr>
          <w:b/>
          <w:bCs/>
          <w:sz w:val="20"/>
          <w:szCs w:val="20"/>
        </w:rPr>
        <w:t xml:space="preserve"> </w:t>
      </w:r>
      <w:r w:rsidRPr="00846B20">
        <w:rPr>
          <w:sz w:val="20"/>
          <w:szCs w:val="20"/>
        </w:rPr>
        <w:t xml:space="preserve">seja administrado a mulheres que estejam amamentando. </w:t>
      </w:r>
    </w:p>
    <w:p w14:paraId="7AC60BD2" w14:textId="77777777" w:rsidR="00936AA7" w:rsidRPr="00846B20" w:rsidRDefault="00936AA7" w:rsidP="00936AA7">
      <w:pPr>
        <w:pStyle w:val="Default"/>
        <w:spacing w:line="280" w:lineRule="atLeast"/>
        <w:jc w:val="both"/>
        <w:rPr>
          <w:sz w:val="20"/>
          <w:szCs w:val="20"/>
        </w:rPr>
      </w:pPr>
      <w:r w:rsidRPr="00846B20">
        <w:rPr>
          <w:b/>
          <w:bCs/>
          <w:sz w:val="20"/>
          <w:szCs w:val="20"/>
        </w:rPr>
        <w:t xml:space="preserve">Categoria B de risco na gravidez </w:t>
      </w:r>
    </w:p>
    <w:p w14:paraId="1AC06D61" w14:textId="77777777" w:rsidR="00936AA7" w:rsidRPr="00846B20" w:rsidRDefault="00936AA7" w:rsidP="00936AA7">
      <w:pPr>
        <w:pStyle w:val="Default"/>
        <w:spacing w:line="280" w:lineRule="atLeast"/>
        <w:jc w:val="both"/>
        <w:rPr>
          <w:sz w:val="20"/>
          <w:szCs w:val="20"/>
        </w:rPr>
      </w:pPr>
      <w:r w:rsidRPr="00846B20">
        <w:rPr>
          <w:b/>
          <w:bCs/>
          <w:sz w:val="20"/>
          <w:szCs w:val="20"/>
        </w:rPr>
        <w:t>Este medicamento não deve ser utilizado por mulheres grávidas sem orientação médica ou do cirurgião-dentista.</w:t>
      </w:r>
    </w:p>
    <w:p w14:paraId="6330DFE7" w14:textId="77777777" w:rsidR="00936AA7" w:rsidRDefault="00936AA7" w:rsidP="00936AA7">
      <w:pPr>
        <w:pStyle w:val="Default"/>
        <w:spacing w:line="280" w:lineRule="atLeast"/>
        <w:jc w:val="both"/>
        <w:rPr>
          <w:b/>
          <w:bCs/>
          <w:sz w:val="20"/>
          <w:szCs w:val="20"/>
        </w:rPr>
      </w:pPr>
    </w:p>
    <w:p w14:paraId="650A8D90" w14:textId="77777777" w:rsidR="00936AA7" w:rsidRPr="00846B20" w:rsidRDefault="00936AA7" w:rsidP="00936AA7">
      <w:pPr>
        <w:pStyle w:val="Default"/>
        <w:spacing w:line="280" w:lineRule="atLeast"/>
        <w:jc w:val="both"/>
        <w:rPr>
          <w:sz w:val="20"/>
          <w:szCs w:val="20"/>
        </w:rPr>
      </w:pPr>
      <w:r w:rsidRPr="00846B20">
        <w:rPr>
          <w:b/>
          <w:bCs/>
          <w:sz w:val="20"/>
          <w:szCs w:val="20"/>
        </w:rPr>
        <w:t>Mutagênese</w:t>
      </w:r>
    </w:p>
    <w:p w14:paraId="60E5B5B0" w14:textId="77777777" w:rsidR="00936AA7" w:rsidRPr="00846B20" w:rsidRDefault="00936AA7" w:rsidP="00936AA7">
      <w:pPr>
        <w:pStyle w:val="Default"/>
        <w:spacing w:line="280" w:lineRule="atLeast"/>
        <w:jc w:val="both"/>
        <w:rPr>
          <w:sz w:val="20"/>
          <w:szCs w:val="20"/>
        </w:rPr>
      </w:pPr>
      <w:r w:rsidRPr="00846B20">
        <w:rPr>
          <w:sz w:val="20"/>
          <w:szCs w:val="20"/>
        </w:rPr>
        <w:t xml:space="preserve">Os resultados de uma ampla variedade de testes de mutagenicidade </w:t>
      </w:r>
      <w:r w:rsidRPr="00655F9C">
        <w:rPr>
          <w:i/>
          <w:sz w:val="20"/>
          <w:szCs w:val="20"/>
        </w:rPr>
        <w:t>in vitro</w:t>
      </w:r>
      <w:r w:rsidRPr="00846B20">
        <w:rPr>
          <w:sz w:val="20"/>
          <w:szCs w:val="20"/>
        </w:rPr>
        <w:t xml:space="preserve"> e </w:t>
      </w:r>
      <w:r w:rsidRPr="00655F9C">
        <w:rPr>
          <w:i/>
          <w:sz w:val="20"/>
          <w:szCs w:val="20"/>
        </w:rPr>
        <w:t>in vivo</w:t>
      </w:r>
      <w:r w:rsidRPr="00846B20">
        <w:rPr>
          <w:sz w:val="20"/>
          <w:szCs w:val="20"/>
        </w:rPr>
        <w:t xml:space="preserve"> indicam que o aciclovir representa um risco genétic</w:t>
      </w:r>
      <w:r>
        <w:rPr>
          <w:sz w:val="20"/>
          <w:szCs w:val="20"/>
        </w:rPr>
        <w:t>o pouco provável para o homem.</w:t>
      </w:r>
    </w:p>
    <w:p w14:paraId="6777FBC0" w14:textId="77777777" w:rsidR="00936AA7" w:rsidRDefault="00936AA7" w:rsidP="00936AA7">
      <w:pPr>
        <w:pStyle w:val="Default"/>
        <w:spacing w:line="280" w:lineRule="atLeast"/>
        <w:jc w:val="both"/>
        <w:rPr>
          <w:b/>
          <w:bCs/>
          <w:sz w:val="20"/>
          <w:szCs w:val="20"/>
        </w:rPr>
      </w:pPr>
    </w:p>
    <w:p w14:paraId="0101D44A" w14:textId="77777777" w:rsidR="00936AA7" w:rsidRPr="00846B20" w:rsidRDefault="00936AA7" w:rsidP="00936AA7">
      <w:pPr>
        <w:pStyle w:val="Default"/>
        <w:spacing w:line="280" w:lineRule="atLeast"/>
        <w:jc w:val="both"/>
        <w:rPr>
          <w:sz w:val="20"/>
          <w:szCs w:val="20"/>
        </w:rPr>
      </w:pPr>
      <w:r w:rsidRPr="00846B20">
        <w:rPr>
          <w:b/>
          <w:bCs/>
          <w:sz w:val="20"/>
          <w:szCs w:val="20"/>
        </w:rPr>
        <w:t>Carcinogênese</w:t>
      </w:r>
    </w:p>
    <w:p w14:paraId="3E39BEB3" w14:textId="77777777" w:rsidR="00936AA7" w:rsidRPr="00846B20" w:rsidRDefault="00936AA7" w:rsidP="00936AA7">
      <w:pPr>
        <w:pStyle w:val="Default"/>
        <w:spacing w:line="280" w:lineRule="atLeast"/>
        <w:jc w:val="both"/>
        <w:rPr>
          <w:sz w:val="20"/>
          <w:szCs w:val="20"/>
        </w:rPr>
      </w:pPr>
      <w:r w:rsidRPr="00846B20">
        <w:rPr>
          <w:sz w:val="20"/>
          <w:szCs w:val="20"/>
        </w:rPr>
        <w:t>Em estudos de longo prazo em ratos e camundongos, aciclovir não mos</w:t>
      </w:r>
      <w:r>
        <w:rPr>
          <w:sz w:val="20"/>
          <w:szCs w:val="20"/>
        </w:rPr>
        <w:t>trou nenhuma carcinogenicidade.</w:t>
      </w:r>
    </w:p>
    <w:p w14:paraId="4855AC20" w14:textId="77777777" w:rsidR="00936AA7" w:rsidRDefault="00936AA7" w:rsidP="00936AA7">
      <w:pPr>
        <w:pStyle w:val="Default"/>
        <w:spacing w:line="280" w:lineRule="atLeast"/>
        <w:jc w:val="both"/>
        <w:rPr>
          <w:b/>
          <w:bCs/>
          <w:sz w:val="20"/>
          <w:szCs w:val="20"/>
        </w:rPr>
      </w:pPr>
    </w:p>
    <w:p w14:paraId="19B9176D" w14:textId="77777777" w:rsidR="00936AA7" w:rsidRPr="00846B20" w:rsidRDefault="00936AA7" w:rsidP="00936AA7">
      <w:pPr>
        <w:pStyle w:val="Default"/>
        <w:spacing w:line="280" w:lineRule="atLeast"/>
        <w:jc w:val="both"/>
        <w:rPr>
          <w:sz w:val="20"/>
          <w:szCs w:val="20"/>
        </w:rPr>
      </w:pPr>
      <w:r w:rsidRPr="00846B20">
        <w:rPr>
          <w:b/>
          <w:bCs/>
          <w:sz w:val="20"/>
          <w:szCs w:val="20"/>
        </w:rPr>
        <w:t>Teratogênese</w:t>
      </w:r>
    </w:p>
    <w:p w14:paraId="6CC4753B" w14:textId="77777777" w:rsidR="00936AA7" w:rsidRPr="00846B20" w:rsidRDefault="00936AA7" w:rsidP="00936AA7">
      <w:pPr>
        <w:pStyle w:val="Default"/>
        <w:spacing w:line="280" w:lineRule="atLeast"/>
        <w:jc w:val="both"/>
        <w:rPr>
          <w:sz w:val="20"/>
          <w:szCs w:val="20"/>
        </w:rPr>
      </w:pPr>
      <w:r w:rsidRPr="00846B20">
        <w:rPr>
          <w:sz w:val="20"/>
          <w:szCs w:val="20"/>
        </w:rPr>
        <w:t>A administração sistêmica do aciclovir em testes padronizados internacionalmente aceitos não produziu efeitos embriotóxicos ou teratogênicos em coelhos, ratos ou camundongos. Em um teste não padronizado em ratos, foram observadas anomalias fetais, porém apenas após doses subcutâneas tão altas que produziram toxicidade materna. A relevância clínica d</w:t>
      </w:r>
      <w:r>
        <w:rPr>
          <w:sz w:val="20"/>
          <w:szCs w:val="20"/>
        </w:rPr>
        <w:t>estes resultados é incerta.</w:t>
      </w:r>
    </w:p>
    <w:p w14:paraId="47D240F5" w14:textId="77777777" w:rsidR="00936AA7" w:rsidRDefault="00936AA7" w:rsidP="00936AA7">
      <w:pPr>
        <w:pStyle w:val="Default"/>
        <w:spacing w:line="280" w:lineRule="atLeast"/>
        <w:jc w:val="both"/>
        <w:rPr>
          <w:b/>
          <w:bCs/>
          <w:sz w:val="20"/>
          <w:szCs w:val="20"/>
        </w:rPr>
      </w:pPr>
    </w:p>
    <w:p w14:paraId="6812DFD4" w14:textId="77777777" w:rsidR="00936AA7" w:rsidRPr="00846B20" w:rsidRDefault="00936AA7" w:rsidP="00936AA7">
      <w:pPr>
        <w:pStyle w:val="Default"/>
        <w:spacing w:line="280" w:lineRule="atLeast"/>
        <w:jc w:val="both"/>
        <w:rPr>
          <w:sz w:val="20"/>
          <w:szCs w:val="20"/>
        </w:rPr>
      </w:pPr>
      <w:r w:rsidRPr="00846B20">
        <w:rPr>
          <w:b/>
          <w:bCs/>
          <w:sz w:val="20"/>
          <w:szCs w:val="20"/>
        </w:rPr>
        <w:t>Fertilidade</w:t>
      </w:r>
    </w:p>
    <w:p w14:paraId="3721A647" w14:textId="3535E1DA" w:rsidR="00936AA7" w:rsidRPr="00846B20" w:rsidRDefault="00936AA7" w:rsidP="00936AA7">
      <w:pPr>
        <w:pStyle w:val="Default"/>
        <w:spacing w:line="280" w:lineRule="atLeast"/>
        <w:jc w:val="both"/>
        <w:rPr>
          <w:sz w:val="20"/>
          <w:szCs w:val="20"/>
        </w:rPr>
      </w:pPr>
      <w:r w:rsidRPr="00846B20">
        <w:rPr>
          <w:sz w:val="20"/>
          <w:szCs w:val="20"/>
        </w:rPr>
        <w:t xml:space="preserve">Efeitos adversos amplamente reversíveis sobre a espermatogênese em associação com toxicidade global em ratos e cães, foram relatados apenas com doses de </w:t>
      </w:r>
      <w:r w:rsidR="004448E1">
        <w:rPr>
          <w:sz w:val="20"/>
          <w:szCs w:val="20"/>
        </w:rPr>
        <w:t>aciclovir muito maiores do que as empregada</w:t>
      </w:r>
      <w:r w:rsidRPr="00846B20">
        <w:rPr>
          <w:sz w:val="20"/>
          <w:szCs w:val="20"/>
        </w:rPr>
        <w:t>s terapeuticamente. Estudos de duas gerações em camundongos não revelaram qualquer efeito sobre a fertilidade com ac</w:t>
      </w:r>
      <w:r>
        <w:rPr>
          <w:sz w:val="20"/>
          <w:szCs w:val="20"/>
        </w:rPr>
        <w:t>iclovir administrado oralmente.</w:t>
      </w:r>
    </w:p>
    <w:p w14:paraId="20F4B89A" w14:textId="77777777" w:rsidR="00936AA7" w:rsidRPr="00846B20" w:rsidRDefault="00936AA7" w:rsidP="00936AA7">
      <w:pPr>
        <w:pStyle w:val="Default"/>
        <w:spacing w:line="280" w:lineRule="atLeast"/>
        <w:jc w:val="both"/>
        <w:rPr>
          <w:sz w:val="20"/>
          <w:szCs w:val="20"/>
        </w:rPr>
      </w:pPr>
      <w:r w:rsidRPr="00846B20">
        <w:rPr>
          <w:sz w:val="20"/>
          <w:szCs w:val="20"/>
        </w:rPr>
        <w:t>Não existem da</w:t>
      </w:r>
      <w:r>
        <w:rPr>
          <w:sz w:val="20"/>
          <w:szCs w:val="20"/>
        </w:rPr>
        <w:t xml:space="preserve">dos que indiquem que aciclovir </w:t>
      </w:r>
      <w:r w:rsidRPr="00846B20">
        <w:rPr>
          <w:sz w:val="20"/>
          <w:szCs w:val="20"/>
        </w:rPr>
        <w:t>af</w:t>
      </w:r>
      <w:r>
        <w:rPr>
          <w:sz w:val="20"/>
          <w:szCs w:val="20"/>
        </w:rPr>
        <w:t>ete a fertilidade das mulheres.</w:t>
      </w:r>
    </w:p>
    <w:p w14:paraId="675AB85F" w14:textId="77777777" w:rsidR="00936AA7" w:rsidRPr="00846B20" w:rsidRDefault="00936AA7" w:rsidP="00936AA7">
      <w:pPr>
        <w:pStyle w:val="Default"/>
        <w:spacing w:line="280" w:lineRule="atLeast"/>
        <w:jc w:val="both"/>
        <w:rPr>
          <w:sz w:val="20"/>
          <w:szCs w:val="20"/>
        </w:rPr>
      </w:pPr>
      <w:r w:rsidRPr="00846B20">
        <w:rPr>
          <w:sz w:val="20"/>
          <w:szCs w:val="20"/>
        </w:rPr>
        <w:t>Em um estudo com 20 pacientes homens com contagem de espermatozoides normal, aciclovir administrado oralmente em doses de até 1g por dia durante 6 meses não demonstrou efeito clinicamente significativo na contagem, morfologia e nem na motilidade dos espermatozoides.</w:t>
      </w:r>
    </w:p>
    <w:p w14:paraId="1E5FF8D8" w14:textId="77777777" w:rsidR="00936AA7" w:rsidRDefault="00936AA7" w:rsidP="00936AA7">
      <w:pPr>
        <w:pStyle w:val="Default"/>
        <w:spacing w:line="280" w:lineRule="atLeast"/>
        <w:jc w:val="both"/>
        <w:rPr>
          <w:b/>
          <w:bCs/>
          <w:sz w:val="20"/>
          <w:szCs w:val="20"/>
        </w:rPr>
      </w:pPr>
    </w:p>
    <w:p w14:paraId="62DA3242" w14:textId="77777777" w:rsidR="00936AA7" w:rsidRPr="00853722" w:rsidRDefault="00936AA7" w:rsidP="00936AA7">
      <w:pPr>
        <w:pStyle w:val="Default"/>
        <w:spacing w:line="280" w:lineRule="atLeast"/>
        <w:jc w:val="both"/>
        <w:rPr>
          <w:sz w:val="20"/>
          <w:szCs w:val="20"/>
        </w:rPr>
      </w:pPr>
      <w:r w:rsidRPr="00853722">
        <w:rPr>
          <w:b/>
          <w:bCs/>
          <w:sz w:val="20"/>
          <w:szCs w:val="20"/>
        </w:rPr>
        <w:t>6. INTERAÇÕES MEDICAMENTOSAS</w:t>
      </w:r>
    </w:p>
    <w:p w14:paraId="67C70C3B" w14:textId="77777777" w:rsidR="00936AA7" w:rsidRPr="00853722" w:rsidRDefault="00936AA7" w:rsidP="00936AA7">
      <w:pPr>
        <w:pStyle w:val="Default"/>
        <w:spacing w:line="280" w:lineRule="atLeast"/>
        <w:jc w:val="both"/>
        <w:rPr>
          <w:sz w:val="20"/>
          <w:szCs w:val="20"/>
        </w:rPr>
      </w:pPr>
      <w:r w:rsidRPr="00853722">
        <w:rPr>
          <w:sz w:val="20"/>
          <w:szCs w:val="20"/>
        </w:rPr>
        <w:t>Não foi identificada nenhuma intera</w:t>
      </w:r>
      <w:r>
        <w:rPr>
          <w:sz w:val="20"/>
          <w:szCs w:val="20"/>
        </w:rPr>
        <w:t>ção clinicamente significativa.</w:t>
      </w:r>
    </w:p>
    <w:p w14:paraId="5A2D0FBE" w14:textId="77777777" w:rsidR="00936AA7" w:rsidRPr="00853722" w:rsidRDefault="00936AA7" w:rsidP="00936AA7">
      <w:pPr>
        <w:pStyle w:val="Default"/>
        <w:spacing w:line="280" w:lineRule="atLeast"/>
        <w:jc w:val="both"/>
        <w:rPr>
          <w:sz w:val="20"/>
          <w:szCs w:val="20"/>
        </w:rPr>
      </w:pPr>
      <w:r w:rsidRPr="00853722">
        <w:rPr>
          <w:sz w:val="20"/>
          <w:szCs w:val="20"/>
        </w:rPr>
        <w:t xml:space="preserve">O aciclovir é eliminado primariamente inalterado na urina, via secreção tubular renal ativa. Qualquer droga administrada concomitantemente, que afete esse mecanismo, pode aumentar a concentração plasmática do aciclovir. A probenecida e a cimetidina aumentam a área sob a curva (ASC) do aciclovir por esse mecanismo, e reduzem o </w:t>
      </w:r>
      <w:r w:rsidRPr="00853722">
        <w:rPr>
          <w:i/>
          <w:iCs/>
          <w:sz w:val="20"/>
          <w:szCs w:val="20"/>
        </w:rPr>
        <w:t xml:space="preserve">clearance </w:t>
      </w:r>
      <w:r w:rsidRPr="00853722">
        <w:rPr>
          <w:sz w:val="20"/>
          <w:szCs w:val="20"/>
        </w:rPr>
        <w:t>renal do aciclovir. De modo similar, aumentos nas ASCs plasmáticas do aciclovir e do metabólito inativo de micofenolato de mofetil, um agente imunossupressor usado em pacientes transplantados, foram demonstrados quando a</w:t>
      </w:r>
      <w:r>
        <w:rPr>
          <w:sz w:val="20"/>
          <w:szCs w:val="20"/>
        </w:rPr>
        <w:t>s drogas foram coadministradas.</w:t>
      </w:r>
    </w:p>
    <w:p w14:paraId="0DC1E3D6" w14:textId="77777777" w:rsidR="00936AA7" w:rsidRPr="00853722" w:rsidRDefault="00936AA7" w:rsidP="00936AA7">
      <w:pPr>
        <w:pStyle w:val="Default"/>
        <w:spacing w:line="280" w:lineRule="atLeast"/>
        <w:jc w:val="both"/>
        <w:rPr>
          <w:sz w:val="20"/>
          <w:szCs w:val="20"/>
        </w:rPr>
      </w:pPr>
      <w:r w:rsidRPr="00853722">
        <w:rPr>
          <w:sz w:val="20"/>
          <w:szCs w:val="20"/>
        </w:rPr>
        <w:t>Entretanto, nenhum ajuste de dose é necessário por causa do amplo í</w:t>
      </w:r>
      <w:r>
        <w:rPr>
          <w:sz w:val="20"/>
          <w:szCs w:val="20"/>
        </w:rPr>
        <w:t>ndice terapêutico do aciclovir.</w:t>
      </w:r>
    </w:p>
    <w:p w14:paraId="624E4D3A" w14:textId="77777777" w:rsidR="00936AA7" w:rsidRDefault="00936AA7" w:rsidP="00936AA7">
      <w:pPr>
        <w:pStyle w:val="Default"/>
        <w:spacing w:line="280" w:lineRule="atLeast"/>
        <w:jc w:val="both"/>
        <w:rPr>
          <w:b/>
          <w:bCs/>
          <w:sz w:val="20"/>
          <w:szCs w:val="20"/>
        </w:rPr>
      </w:pPr>
    </w:p>
    <w:p w14:paraId="70F584A8" w14:textId="77777777" w:rsidR="00936AA7" w:rsidRPr="00853722" w:rsidRDefault="00936AA7" w:rsidP="00936AA7">
      <w:pPr>
        <w:pStyle w:val="Default"/>
        <w:spacing w:line="280" w:lineRule="atLeast"/>
        <w:jc w:val="both"/>
        <w:rPr>
          <w:sz w:val="20"/>
          <w:szCs w:val="20"/>
        </w:rPr>
      </w:pPr>
      <w:r w:rsidRPr="00853722">
        <w:rPr>
          <w:b/>
          <w:bCs/>
          <w:sz w:val="20"/>
          <w:szCs w:val="20"/>
        </w:rPr>
        <w:lastRenderedPageBreak/>
        <w:t>7. CUIDADOS DE ARMAZENAMENTO DO MEDICAMENTO</w:t>
      </w:r>
    </w:p>
    <w:p w14:paraId="15EF1207" w14:textId="3AEDD694" w:rsidR="00936AA7" w:rsidRPr="007B2AD5" w:rsidRDefault="00936AA7" w:rsidP="00936AA7">
      <w:pPr>
        <w:pStyle w:val="Default"/>
        <w:spacing w:line="280" w:lineRule="atLeast"/>
        <w:jc w:val="both"/>
        <w:rPr>
          <w:sz w:val="20"/>
          <w:szCs w:val="20"/>
        </w:rPr>
      </w:pPr>
      <w:r w:rsidRPr="007B2AD5">
        <w:rPr>
          <w:sz w:val="20"/>
          <w:szCs w:val="20"/>
        </w:rPr>
        <w:t>Mantenha os comprimidos em sua embalagem original, em temperatura ambiente (15</w:t>
      </w:r>
      <w:r w:rsidR="00F71341">
        <w:rPr>
          <w:sz w:val="20"/>
          <w:szCs w:val="20"/>
        </w:rPr>
        <w:t xml:space="preserve"> a</w:t>
      </w:r>
      <w:r w:rsidRPr="007B2AD5">
        <w:rPr>
          <w:sz w:val="20"/>
          <w:szCs w:val="20"/>
        </w:rPr>
        <w:t xml:space="preserve"> 30ºC</w:t>
      </w:r>
      <w:r>
        <w:rPr>
          <w:sz w:val="20"/>
          <w:szCs w:val="20"/>
        </w:rPr>
        <w:t>), protegidos da luz e umidade.</w:t>
      </w:r>
    </w:p>
    <w:p w14:paraId="0F9346BA" w14:textId="77777777" w:rsidR="00936AA7" w:rsidRPr="00853722" w:rsidRDefault="00936AA7" w:rsidP="00936AA7">
      <w:pPr>
        <w:pStyle w:val="Default"/>
        <w:spacing w:line="280" w:lineRule="atLeast"/>
        <w:jc w:val="both"/>
        <w:rPr>
          <w:sz w:val="20"/>
          <w:szCs w:val="20"/>
        </w:rPr>
      </w:pPr>
      <w:r w:rsidRPr="00853722">
        <w:rPr>
          <w:sz w:val="20"/>
          <w:szCs w:val="20"/>
        </w:rPr>
        <w:t>O prazo de validade é de 24 meses a partir da data de fabricação, impressa na embalagem extern</w:t>
      </w:r>
      <w:r>
        <w:rPr>
          <w:sz w:val="20"/>
          <w:szCs w:val="20"/>
        </w:rPr>
        <w:t>a do produto.</w:t>
      </w:r>
    </w:p>
    <w:p w14:paraId="200CF92E" w14:textId="77777777" w:rsidR="00936AA7" w:rsidRPr="00853722" w:rsidRDefault="00936AA7" w:rsidP="00936AA7">
      <w:pPr>
        <w:pStyle w:val="Default"/>
        <w:spacing w:line="280" w:lineRule="atLeast"/>
        <w:jc w:val="both"/>
        <w:rPr>
          <w:sz w:val="20"/>
          <w:szCs w:val="20"/>
        </w:rPr>
      </w:pPr>
      <w:r w:rsidRPr="00853722">
        <w:rPr>
          <w:b/>
          <w:bCs/>
          <w:sz w:val="20"/>
          <w:szCs w:val="20"/>
        </w:rPr>
        <w:t>Número de lote e datas de fabricação e validade: vide embalagem.</w:t>
      </w:r>
    </w:p>
    <w:p w14:paraId="2CC0289D" w14:textId="77777777" w:rsidR="00936AA7" w:rsidRDefault="00936AA7" w:rsidP="00936AA7">
      <w:pPr>
        <w:pStyle w:val="Default"/>
        <w:spacing w:line="280" w:lineRule="atLeast"/>
        <w:jc w:val="both"/>
        <w:rPr>
          <w:b/>
          <w:bCs/>
          <w:sz w:val="20"/>
          <w:szCs w:val="20"/>
        </w:rPr>
      </w:pPr>
      <w:r w:rsidRPr="00853722">
        <w:rPr>
          <w:b/>
          <w:bCs/>
          <w:sz w:val="20"/>
          <w:szCs w:val="20"/>
        </w:rPr>
        <w:t>Não use medicamento com o prazo de validade vencido. Guarde-o em sua embalagem original.</w:t>
      </w:r>
    </w:p>
    <w:p w14:paraId="62E2CCC6" w14:textId="77777777" w:rsidR="00936AA7" w:rsidRPr="00853722" w:rsidRDefault="00936AA7" w:rsidP="00936AA7">
      <w:pPr>
        <w:pStyle w:val="Default"/>
        <w:spacing w:line="280" w:lineRule="atLeast"/>
        <w:jc w:val="both"/>
        <w:rPr>
          <w:sz w:val="20"/>
          <w:szCs w:val="20"/>
        </w:rPr>
      </w:pPr>
      <w:r w:rsidRPr="00853722">
        <w:rPr>
          <w:b/>
          <w:bCs/>
          <w:sz w:val="20"/>
          <w:szCs w:val="20"/>
        </w:rPr>
        <w:t>Aspecto físico / Características organolépticas</w:t>
      </w:r>
    </w:p>
    <w:p w14:paraId="31D6BB8C" w14:textId="77777777" w:rsidR="00936AA7" w:rsidRPr="007B2AD5" w:rsidRDefault="00936AA7" w:rsidP="00936AA7">
      <w:pPr>
        <w:pStyle w:val="NormalWeb"/>
        <w:spacing w:before="0" w:beforeAutospacing="0" w:after="0" w:afterAutospacing="0" w:line="280" w:lineRule="atLeast"/>
        <w:jc w:val="both"/>
        <w:rPr>
          <w:sz w:val="20"/>
          <w:szCs w:val="20"/>
          <w:lang w:val="pt-PT"/>
        </w:rPr>
      </w:pPr>
      <w:r w:rsidRPr="007B2AD5">
        <w:rPr>
          <w:sz w:val="20"/>
          <w:szCs w:val="20"/>
        </w:rPr>
        <w:t xml:space="preserve">Os comprimidos de </w:t>
      </w:r>
      <w:r w:rsidRPr="008E4C0C">
        <w:rPr>
          <w:bCs/>
          <w:sz w:val="20"/>
          <w:szCs w:val="20"/>
        </w:rPr>
        <w:t>HERVIRAX</w:t>
      </w:r>
      <w:r>
        <w:rPr>
          <w:bCs/>
          <w:sz w:val="20"/>
          <w:szCs w:val="20"/>
        </w:rPr>
        <w:t xml:space="preserve"> </w:t>
      </w:r>
      <w:r w:rsidRPr="007B2AD5">
        <w:rPr>
          <w:sz w:val="20"/>
          <w:szCs w:val="20"/>
        </w:rPr>
        <w:t xml:space="preserve">200 mg </w:t>
      </w:r>
      <w:r w:rsidRPr="007B2AD5">
        <w:rPr>
          <w:sz w:val="20"/>
          <w:szCs w:val="20"/>
          <w:lang w:val="pt-PT"/>
        </w:rPr>
        <w:t xml:space="preserve">são brancos, circulares, planos, sulcados e </w:t>
      </w:r>
      <w:r w:rsidRPr="007B2AD5">
        <w:rPr>
          <w:sz w:val="20"/>
          <w:szCs w:val="20"/>
        </w:rPr>
        <w:t>isentos de material estranho.</w:t>
      </w:r>
    </w:p>
    <w:p w14:paraId="15E5A7C1" w14:textId="77777777" w:rsidR="00936AA7" w:rsidRPr="00853722" w:rsidRDefault="00936AA7" w:rsidP="00936AA7">
      <w:pPr>
        <w:pStyle w:val="Default"/>
        <w:spacing w:line="280" w:lineRule="atLeast"/>
        <w:jc w:val="both"/>
        <w:rPr>
          <w:sz w:val="20"/>
          <w:szCs w:val="20"/>
        </w:rPr>
      </w:pPr>
      <w:r w:rsidRPr="00853722">
        <w:rPr>
          <w:b/>
          <w:bCs/>
          <w:sz w:val="20"/>
          <w:szCs w:val="20"/>
        </w:rPr>
        <w:t>Antes de usar, observe o aspecto do medicamento.</w:t>
      </w:r>
    </w:p>
    <w:p w14:paraId="26614BF1" w14:textId="77777777" w:rsidR="00936AA7" w:rsidRPr="00853722" w:rsidRDefault="00936AA7" w:rsidP="00936AA7">
      <w:pPr>
        <w:pStyle w:val="Default"/>
        <w:spacing w:line="280" w:lineRule="atLeast"/>
        <w:jc w:val="both"/>
        <w:rPr>
          <w:sz w:val="20"/>
          <w:szCs w:val="20"/>
        </w:rPr>
      </w:pPr>
      <w:r w:rsidRPr="00853722">
        <w:rPr>
          <w:b/>
          <w:bCs/>
          <w:sz w:val="20"/>
          <w:szCs w:val="20"/>
        </w:rPr>
        <w:t>Todo medicamento deve ser mantido fora do alcance das crianças.</w:t>
      </w:r>
    </w:p>
    <w:p w14:paraId="1A39BCDE" w14:textId="77777777" w:rsidR="0074392A" w:rsidRDefault="0074392A" w:rsidP="00936AA7">
      <w:pPr>
        <w:pStyle w:val="Default"/>
        <w:spacing w:line="280" w:lineRule="atLeast"/>
        <w:jc w:val="both"/>
        <w:rPr>
          <w:b/>
          <w:bCs/>
          <w:sz w:val="20"/>
          <w:szCs w:val="20"/>
        </w:rPr>
      </w:pPr>
    </w:p>
    <w:p w14:paraId="26E60A77" w14:textId="77777777" w:rsidR="00936AA7" w:rsidRPr="00853722" w:rsidRDefault="00936AA7" w:rsidP="00936AA7">
      <w:pPr>
        <w:pStyle w:val="Default"/>
        <w:spacing w:line="280" w:lineRule="atLeast"/>
        <w:jc w:val="both"/>
        <w:rPr>
          <w:sz w:val="20"/>
          <w:szCs w:val="20"/>
        </w:rPr>
      </w:pPr>
      <w:r w:rsidRPr="00853722">
        <w:rPr>
          <w:b/>
          <w:bCs/>
          <w:sz w:val="20"/>
          <w:szCs w:val="20"/>
        </w:rPr>
        <w:t xml:space="preserve">8. POSOLOGIA E MODO DE USAR </w:t>
      </w:r>
    </w:p>
    <w:p w14:paraId="622C4C46" w14:textId="77777777" w:rsidR="00936AA7" w:rsidRPr="00853722" w:rsidRDefault="00936AA7" w:rsidP="00936AA7">
      <w:pPr>
        <w:pStyle w:val="Default"/>
        <w:spacing w:line="280" w:lineRule="atLeast"/>
        <w:jc w:val="both"/>
        <w:rPr>
          <w:sz w:val="20"/>
          <w:szCs w:val="20"/>
        </w:rPr>
      </w:pPr>
      <w:r w:rsidRPr="00853722">
        <w:rPr>
          <w:b/>
          <w:bCs/>
          <w:sz w:val="20"/>
          <w:szCs w:val="20"/>
        </w:rPr>
        <w:t xml:space="preserve">Modo de uso </w:t>
      </w:r>
    </w:p>
    <w:p w14:paraId="5876F97D" w14:textId="77777777" w:rsidR="00936AA7" w:rsidRPr="00853722" w:rsidRDefault="00936AA7" w:rsidP="00936AA7">
      <w:pPr>
        <w:pStyle w:val="Default"/>
        <w:spacing w:line="280" w:lineRule="atLeast"/>
        <w:jc w:val="both"/>
        <w:rPr>
          <w:sz w:val="20"/>
          <w:szCs w:val="20"/>
        </w:rPr>
      </w:pPr>
      <w:r w:rsidRPr="00853722">
        <w:rPr>
          <w:sz w:val="20"/>
          <w:szCs w:val="20"/>
        </w:rPr>
        <w:t xml:space="preserve">Uso exclusivamente oral. </w:t>
      </w:r>
    </w:p>
    <w:p w14:paraId="674E0501" w14:textId="77777777" w:rsidR="00936AA7" w:rsidRDefault="00936AA7" w:rsidP="00936AA7">
      <w:pPr>
        <w:pStyle w:val="Default"/>
        <w:spacing w:line="280" w:lineRule="atLeast"/>
        <w:jc w:val="both"/>
        <w:rPr>
          <w:b/>
          <w:bCs/>
          <w:sz w:val="20"/>
          <w:szCs w:val="20"/>
        </w:rPr>
      </w:pPr>
    </w:p>
    <w:p w14:paraId="3722D3FA" w14:textId="77777777" w:rsidR="00936AA7" w:rsidRPr="00853722" w:rsidRDefault="00936AA7" w:rsidP="00936AA7">
      <w:pPr>
        <w:pStyle w:val="Default"/>
        <w:spacing w:line="280" w:lineRule="atLeast"/>
        <w:jc w:val="both"/>
        <w:rPr>
          <w:sz w:val="20"/>
          <w:szCs w:val="20"/>
        </w:rPr>
      </w:pPr>
      <w:r w:rsidRPr="00853722">
        <w:rPr>
          <w:b/>
          <w:bCs/>
          <w:sz w:val="20"/>
          <w:szCs w:val="20"/>
        </w:rPr>
        <w:t xml:space="preserve">Posologia </w:t>
      </w:r>
    </w:p>
    <w:p w14:paraId="4E2AE4C7" w14:textId="1974D1E1" w:rsidR="00936AA7" w:rsidRPr="00853722" w:rsidRDefault="00936AA7" w:rsidP="00936AA7">
      <w:pPr>
        <w:pStyle w:val="Default"/>
        <w:spacing w:line="280" w:lineRule="atLeast"/>
        <w:jc w:val="both"/>
        <w:rPr>
          <w:sz w:val="20"/>
          <w:szCs w:val="20"/>
        </w:rPr>
      </w:pPr>
      <w:r w:rsidRPr="00853722">
        <w:rPr>
          <w:b/>
          <w:bCs/>
          <w:sz w:val="20"/>
          <w:szCs w:val="20"/>
        </w:rPr>
        <w:t>Tratamen</w:t>
      </w:r>
      <w:r w:rsidR="00C645E2">
        <w:rPr>
          <w:b/>
          <w:bCs/>
          <w:sz w:val="20"/>
          <w:szCs w:val="20"/>
        </w:rPr>
        <w:t>to de Herpes simples em adultos</w:t>
      </w:r>
      <w:r w:rsidRPr="00853722">
        <w:rPr>
          <w:b/>
          <w:bCs/>
          <w:sz w:val="20"/>
          <w:szCs w:val="20"/>
        </w:rPr>
        <w:t xml:space="preserve"> </w:t>
      </w:r>
    </w:p>
    <w:p w14:paraId="5E9780A8" w14:textId="77777777" w:rsidR="00936AA7" w:rsidRPr="00853722" w:rsidRDefault="00936AA7" w:rsidP="00936AA7">
      <w:pPr>
        <w:pStyle w:val="Default"/>
        <w:spacing w:line="280" w:lineRule="atLeast"/>
        <w:jc w:val="both"/>
        <w:rPr>
          <w:sz w:val="20"/>
          <w:szCs w:val="20"/>
        </w:rPr>
      </w:pPr>
      <w:r w:rsidRPr="00853722">
        <w:rPr>
          <w:sz w:val="20"/>
          <w:szCs w:val="20"/>
        </w:rPr>
        <w:t xml:space="preserve">Um comprimido de </w:t>
      </w:r>
      <w:r w:rsidRPr="008E4C0C">
        <w:rPr>
          <w:bCs/>
          <w:sz w:val="20"/>
          <w:szCs w:val="20"/>
        </w:rPr>
        <w:t>HERVIRAX</w:t>
      </w:r>
      <w:r>
        <w:rPr>
          <w:bCs/>
          <w:sz w:val="20"/>
          <w:szCs w:val="20"/>
        </w:rPr>
        <w:t xml:space="preserve"> </w:t>
      </w:r>
      <w:r w:rsidRPr="007B2AD5">
        <w:rPr>
          <w:sz w:val="20"/>
          <w:szCs w:val="20"/>
        </w:rPr>
        <w:t>200 mg</w:t>
      </w:r>
      <w:r w:rsidRPr="00853722">
        <w:rPr>
          <w:sz w:val="20"/>
          <w:szCs w:val="20"/>
        </w:rPr>
        <w:t xml:space="preserve">, cinco vezes ao dia, com intervalos de aproximadamente quatro horas, omitindo-se a dose noturna. O tratamento precisa ser mantido por cinco dias, mas deve ser estendido em infecções iniciais graves. Em pacientes gravemente imunocomprometidos (por exemplo, após transplante de medula óssea) ou com distúrbios de absorção intestinal, a dose pode ser duplicada (400 mg) ou, alternativamente, pode-se considerar a administração de doses intravenosas. </w:t>
      </w:r>
    </w:p>
    <w:p w14:paraId="752F891D" w14:textId="77777777" w:rsidR="00936AA7" w:rsidRPr="00853722" w:rsidRDefault="00936AA7" w:rsidP="00936AA7">
      <w:pPr>
        <w:pStyle w:val="Default"/>
        <w:spacing w:line="280" w:lineRule="atLeast"/>
        <w:jc w:val="both"/>
        <w:rPr>
          <w:sz w:val="20"/>
          <w:szCs w:val="20"/>
        </w:rPr>
      </w:pPr>
      <w:r w:rsidRPr="00853722">
        <w:rPr>
          <w:sz w:val="20"/>
          <w:szCs w:val="20"/>
        </w:rPr>
        <w:t xml:space="preserve">A administração das doses deve ser iniciada tão cedo quanto possível, após o surgimento da infecção. Para os episódios recorrentes, isso deve ser feito, de preferência, durante o período prodrômico ou imediatamente após aparecerem os primeiros sinais ou sintomas. </w:t>
      </w:r>
    </w:p>
    <w:p w14:paraId="3BAC26CE" w14:textId="77777777" w:rsidR="00936AA7" w:rsidRDefault="00936AA7" w:rsidP="00936AA7">
      <w:pPr>
        <w:pStyle w:val="Default"/>
        <w:spacing w:line="280" w:lineRule="atLeast"/>
        <w:jc w:val="both"/>
        <w:rPr>
          <w:b/>
          <w:bCs/>
          <w:sz w:val="20"/>
          <w:szCs w:val="20"/>
        </w:rPr>
      </w:pPr>
    </w:p>
    <w:p w14:paraId="56597DAF" w14:textId="4D06638F" w:rsidR="00936AA7" w:rsidRPr="00853722" w:rsidRDefault="00936AA7" w:rsidP="00936AA7">
      <w:pPr>
        <w:pStyle w:val="Default"/>
        <w:spacing w:line="280" w:lineRule="atLeast"/>
        <w:jc w:val="both"/>
        <w:rPr>
          <w:sz w:val="20"/>
          <w:szCs w:val="20"/>
        </w:rPr>
      </w:pPr>
      <w:r w:rsidRPr="00853722">
        <w:rPr>
          <w:b/>
          <w:bCs/>
          <w:sz w:val="20"/>
          <w:szCs w:val="20"/>
        </w:rPr>
        <w:t>Supressão de Herpes simples em adultos imunocompetent</w:t>
      </w:r>
      <w:r w:rsidR="00C645E2">
        <w:rPr>
          <w:b/>
          <w:bCs/>
          <w:sz w:val="20"/>
          <w:szCs w:val="20"/>
        </w:rPr>
        <w:t>es</w:t>
      </w:r>
    </w:p>
    <w:p w14:paraId="42377C0A" w14:textId="77777777" w:rsidR="00936AA7" w:rsidRPr="00853722" w:rsidRDefault="00936AA7" w:rsidP="00936AA7">
      <w:pPr>
        <w:pStyle w:val="Default"/>
        <w:spacing w:line="280" w:lineRule="atLeast"/>
        <w:jc w:val="both"/>
        <w:rPr>
          <w:sz w:val="20"/>
          <w:szCs w:val="20"/>
        </w:rPr>
      </w:pPr>
      <w:r w:rsidRPr="00853722">
        <w:rPr>
          <w:sz w:val="20"/>
          <w:szCs w:val="20"/>
        </w:rPr>
        <w:t xml:space="preserve">Um comprimido de </w:t>
      </w:r>
      <w:r w:rsidRPr="008E4C0C">
        <w:rPr>
          <w:bCs/>
          <w:sz w:val="20"/>
          <w:szCs w:val="20"/>
        </w:rPr>
        <w:t>HERVIRAX</w:t>
      </w:r>
      <w:r>
        <w:rPr>
          <w:bCs/>
          <w:sz w:val="20"/>
          <w:szCs w:val="20"/>
        </w:rPr>
        <w:t xml:space="preserve"> </w:t>
      </w:r>
      <w:r w:rsidRPr="007B2AD5">
        <w:rPr>
          <w:sz w:val="20"/>
          <w:szCs w:val="20"/>
        </w:rPr>
        <w:t>200 mg</w:t>
      </w:r>
      <w:r w:rsidRPr="00853722">
        <w:rPr>
          <w:sz w:val="20"/>
          <w:szCs w:val="20"/>
        </w:rPr>
        <w:t xml:space="preserve">, quatro vezes ao dia, em intervalos de aproximadamente seis horas. </w:t>
      </w:r>
    </w:p>
    <w:p w14:paraId="659E60D3" w14:textId="77777777" w:rsidR="00936AA7" w:rsidRPr="00853722" w:rsidRDefault="00936AA7" w:rsidP="00936AA7">
      <w:pPr>
        <w:pStyle w:val="Default"/>
        <w:spacing w:line="280" w:lineRule="atLeast"/>
        <w:jc w:val="both"/>
        <w:rPr>
          <w:sz w:val="20"/>
          <w:szCs w:val="20"/>
        </w:rPr>
      </w:pPr>
      <w:r w:rsidRPr="00853722">
        <w:rPr>
          <w:sz w:val="20"/>
          <w:szCs w:val="20"/>
        </w:rPr>
        <w:t xml:space="preserve">Muitos pacientes podem ser convenientemente controlados com um regime de 400 mg, duas vezes ao dia, com intervalos de aproximadamente 12 horas. Uma redução da dose para 200 mg, três vezes ao dia, em intervalos de aproximadamente oito horas, ou até duas vezes ao dia, em intervalos de aproximadamente 12 horas, podem mostrar-se eficazes. </w:t>
      </w:r>
    </w:p>
    <w:p w14:paraId="07F56CA7" w14:textId="77777777" w:rsidR="00936AA7" w:rsidRPr="00853722" w:rsidRDefault="00936AA7" w:rsidP="00936AA7">
      <w:pPr>
        <w:pStyle w:val="Default"/>
        <w:spacing w:line="280" w:lineRule="atLeast"/>
        <w:jc w:val="both"/>
        <w:rPr>
          <w:sz w:val="20"/>
          <w:szCs w:val="20"/>
        </w:rPr>
      </w:pPr>
      <w:r w:rsidRPr="00853722">
        <w:rPr>
          <w:sz w:val="20"/>
          <w:szCs w:val="20"/>
        </w:rPr>
        <w:t xml:space="preserve">Em alguns pacientes, podem ocorrer reinfecções em regime de doses totais diárias de 800 mg de </w:t>
      </w:r>
      <w:r w:rsidRPr="008E4C0C">
        <w:rPr>
          <w:bCs/>
          <w:sz w:val="20"/>
          <w:szCs w:val="20"/>
        </w:rPr>
        <w:t>HERVIRAX</w:t>
      </w:r>
      <w:r w:rsidRPr="00853722">
        <w:rPr>
          <w:sz w:val="20"/>
          <w:szCs w:val="20"/>
        </w:rPr>
        <w:t xml:space="preserve">. </w:t>
      </w:r>
    </w:p>
    <w:p w14:paraId="6D55E8A7" w14:textId="77777777" w:rsidR="00936AA7" w:rsidRPr="00853722" w:rsidRDefault="00936AA7" w:rsidP="00936AA7">
      <w:pPr>
        <w:pStyle w:val="Default"/>
        <w:spacing w:line="280" w:lineRule="atLeast"/>
        <w:jc w:val="both"/>
        <w:rPr>
          <w:sz w:val="20"/>
          <w:szCs w:val="20"/>
        </w:rPr>
      </w:pPr>
      <w:r w:rsidRPr="00853722">
        <w:rPr>
          <w:sz w:val="20"/>
          <w:szCs w:val="20"/>
        </w:rPr>
        <w:t xml:space="preserve">O tratamento deve ser interrompido periodicamente, em intervalos de seis a doze meses, a fim de que se possa avaliar o progresso obtido na história natural da doença. </w:t>
      </w:r>
    </w:p>
    <w:p w14:paraId="13CB5265" w14:textId="77777777" w:rsidR="00936AA7" w:rsidRDefault="00936AA7" w:rsidP="00936AA7">
      <w:pPr>
        <w:pStyle w:val="Default"/>
        <w:spacing w:line="280" w:lineRule="atLeast"/>
        <w:jc w:val="both"/>
        <w:rPr>
          <w:b/>
          <w:bCs/>
          <w:sz w:val="20"/>
          <w:szCs w:val="20"/>
        </w:rPr>
      </w:pPr>
    </w:p>
    <w:p w14:paraId="7A24ACC0" w14:textId="0CE87BF2" w:rsidR="00936AA7" w:rsidRPr="00853722" w:rsidRDefault="00936AA7" w:rsidP="00936AA7">
      <w:pPr>
        <w:pStyle w:val="Default"/>
        <w:spacing w:line="280" w:lineRule="atLeast"/>
        <w:jc w:val="both"/>
        <w:rPr>
          <w:sz w:val="20"/>
          <w:szCs w:val="20"/>
        </w:rPr>
      </w:pPr>
      <w:r w:rsidRPr="00853722">
        <w:rPr>
          <w:b/>
          <w:bCs/>
          <w:sz w:val="20"/>
          <w:szCs w:val="20"/>
        </w:rPr>
        <w:t>Profilax</w:t>
      </w:r>
      <w:r w:rsidR="00C645E2">
        <w:rPr>
          <w:b/>
          <w:bCs/>
          <w:sz w:val="20"/>
          <w:szCs w:val="20"/>
        </w:rPr>
        <w:t>ia de Herpes simples em adultos</w:t>
      </w:r>
      <w:r w:rsidRPr="00853722">
        <w:rPr>
          <w:b/>
          <w:bCs/>
          <w:sz w:val="20"/>
          <w:szCs w:val="20"/>
        </w:rPr>
        <w:t xml:space="preserve"> </w:t>
      </w:r>
    </w:p>
    <w:p w14:paraId="6C044D90" w14:textId="77777777" w:rsidR="00936AA7" w:rsidRPr="00853722" w:rsidRDefault="00936AA7" w:rsidP="00936AA7">
      <w:pPr>
        <w:pStyle w:val="Default"/>
        <w:spacing w:line="280" w:lineRule="atLeast"/>
        <w:jc w:val="both"/>
        <w:rPr>
          <w:sz w:val="20"/>
          <w:szCs w:val="20"/>
        </w:rPr>
      </w:pPr>
      <w:r w:rsidRPr="00853722">
        <w:rPr>
          <w:sz w:val="20"/>
          <w:szCs w:val="20"/>
        </w:rPr>
        <w:t xml:space="preserve">Em pacientes imunocomprometidos, recomenda-se um comprimido de </w:t>
      </w:r>
      <w:r w:rsidRPr="008E4C0C">
        <w:rPr>
          <w:bCs/>
          <w:sz w:val="20"/>
          <w:szCs w:val="20"/>
        </w:rPr>
        <w:t>HERVIRAX</w:t>
      </w:r>
      <w:r>
        <w:rPr>
          <w:bCs/>
          <w:sz w:val="20"/>
          <w:szCs w:val="20"/>
        </w:rPr>
        <w:t xml:space="preserve"> </w:t>
      </w:r>
      <w:r w:rsidRPr="007B2AD5">
        <w:rPr>
          <w:sz w:val="20"/>
          <w:szCs w:val="20"/>
        </w:rPr>
        <w:t>200 mg</w:t>
      </w:r>
      <w:r w:rsidRPr="00853722">
        <w:rPr>
          <w:sz w:val="20"/>
          <w:szCs w:val="20"/>
        </w:rPr>
        <w:t xml:space="preserve">, quatro vezes ao dia, em intervalos de aproximadamente seis horas. </w:t>
      </w:r>
    </w:p>
    <w:p w14:paraId="7C208B6A" w14:textId="77777777" w:rsidR="00936AA7" w:rsidRPr="00853722" w:rsidRDefault="00936AA7" w:rsidP="00936AA7">
      <w:pPr>
        <w:pStyle w:val="Default"/>
        <w:spacing w:line="280" w:lineRule="atLeast"/>
        <w:jc w:val="both"/>
        <w:rPr>
          <w:sz w:val="20"/>
          <w:szCs w:val="20"/>
        </w:rPr>
      </w:pPr>
      <w:r w:rsidRPr="00853722">
        <w:rPr>
          <w:sz w:val="20"/>
          <w:szCs w:val="20"/>
        </w:rPr>
        <w:t xml:space="preserve">Para pacientes gravemente imunocomprometidos (por exemplo, após transplante de medula óssea) ou com problemas de absorção intestinal, a dose pode ser dobrada (400 mg) ou, alternativamente, considerada a administração de doses intravenosas. </w:t>
      </w:r>
    </w:p>
    <w:p w14:paraId="07915653" w14:textId="77777777" w:rsidR="00936AA7" w:rsidRPr="00853722" w:rsidRDefault="00936AA7" w:rsidP="00936AA7">
      <w:pPr>
        <w:pStyle w:val="Default"/>
        <w:spacing w:line="280" w:lineRule="atLeast"/>
        <w:jc w:val="both"/>
        <w:rPr>
          <w:sz w:val="20"/>
          <w:szCs w:val="20"/>
        </w:rPr>
      </w:pPr>
      <w:r w:rsidRPr="00853722">
        <w:rPr>
          <w:sz w:val="20"/>
          <w:szCs w:val="20"/>
        </w:rPr>
        <w:t xml:space="preserve">A duração da administração profilática é determinada pela duração do período de risco. </w:t>
      </w:r>
    </w:p>
    <w:p w14:paraId="6DA96885" w14:textId="77777777" w:rsidR="00936AA7" w:rsidRDefault="00936AA7" w:rsidP="00936AA7">
      <w:pPr>
        <w:pStyle w:val="Default"/>
        <w:spacing w:line="280" w:lineRule="atLeast"/>
        <w:jc w:val="both"/>
        <w:rPr>
          <w:b/>
          <w:bCs/>
          <w:sz w:val="20"/>
          <w:szCs w:val="20"/>
        </w:rPr>
      </w:pPr>
    </w:p>
    <w:p w14:paraId="171BA344" w14:textId="2D4FC1EA" w:rsidR="00936AA7" w:rsidRPr="00853722" w:rsidRDefault="00936AA7" w:rsidP="00936AA7">
      <w:pPr>
        <w:pStyle w:val="Default"/>
        <w:spacing w:line="280" w:lineRule="atLeast"/>
        <w:jc w:val="both"/>
        <w:rPr>
          <w:sz w:val="20"/>
          <w:szCs w:val="20"/>
        </w:rPr>
      </w:pPr>
      <w:r w:rsidRPr="00853722">
        <w:rPr>
          <w:b/>
          <w:bCs/>
          <w:sz w:val="20"/>
          <w:szCs w:val="20"/>
        </w:rPr>
        <w:t>Tratame</w:t>
      </w:r>
      <w:r w:rsidR="00C645E2">
        <w:rPr>
          <w:b/>
          <w:bCs/>
          <w:sz w:val="20"/>
          <w:szCs w:val="20"/>
        </w:rPr>
        <w:t>nto de Herpes zoster em adultos</w:t>
      </w:r>
      <w:r w:rsidRPr="00853722">
        <w:rPr>
          <w:b/>
          <w:bCs/>
          <w:sz w:val="20"/>
          <w:szCs w:val="20"/>
        </w:rPr>
        <w:t xml:space="preserve"> </w:t>
      </w:r>
    </w:p>
    <w:p w14:paraId="1A531F61" w14:textId="77777777" w:rsidR="00936AA7" w:rsidRPr="00853722" w:rsidRDefault="00936AA7" w:rsidP="00936AA7">
      <w:pPr>
        <w:pStyle w:val="Default"/>
        <w:spacing w:line="280" w:lineRule="atLeast"/>
        <w:jc w:val="both"/>
        <w:rPr>
          <w:sz w:val="20"/>
          <w:szCs w:val="20"/>
        </w:rPr>
      </w:pPr>
      <w:r w:rsidRPr="00853722">
        <w:rPr>
          <w:sz w:val="20"/>
          <w:szCs w:val="20"/>
        </w:rPr>
        <w:t xml:space="preserve">Doses de 800 mg de </w:t>
      </w:r>
      <w:r w:rsidRPr="008E4C0C">
        <w:rPr>
          <w:bCs/>
          <w:sz w:val="20"/>
          <w:szCs w:val="20"/>
        </w:rPr>
        <w:t>HERVIRAX</w:t>
      </w:r>
      <w:r w:rsidRPr="00853722">
        <w:rPr>
          <w:sz w:val="20"/>
          <w:szCs w:val="20"/>
        </w:rPr>
        <w:t xml:space="preserve">, cinco vezes ao dia, em intervalos de aproximadamente quatro horas, omitindo-se a dose noturna. O tratamento deve ter a duração de sete dias. </w:t>
      </w:r>
    </w:p>
    <w:p w14:paraId="01E77E25" w14:textId="77777777" w:rsidR="00936AA7" w:rsidRPr="00853722" w:rsidRDefault="00936AA7" w:rsidP="00936AA7">
      <w:pPr>
        <w:pStyle w:val="Default"/>
        <w:spacing w:line="280" w:lineRule="atLeast"/>
        <w:jc w:val="both"/>
        <w:rPr>
          <w:sz w:val="20"/>
          <w:szCs w:val="20"/>
        </w:rPr>
      </w:pPr>
      <w:r w:rsidRPr="00853722">
        <w:rPr>
          <w:sz w:val="20"/>
          <w:szCs w:val="20"/>
        </w:rPr>
        <w:t xml:space="preserve">Em pacientes gravemente imunocomprometidos (por exemplo, após transplante de medula óssea) ou com problemas de absorção intestinal, deve ser considerada a administração de doses intravenosas. </w:t>
      </w:r>
    </w:p>
    <w:p w14:paraId="28DF03DF" w14:textId="77777777" w:rsidR="00936AA7" w:rsidRPr="00853722" w:rsidRDefault="00936AA7" w:rsidP="00936AA7">
      <w:pPr>
        <w:pStyle w:val="Default"/>
        <w:spacing w:line="280" w:lineRule="atLeast"/>
        <w:jc w:val="both"/>
        <w:rPr>
          <w:sz w:val="20"/>
          <w:szCs w:val="20"/>
        </w:rPr>
      </w:pPr>
      <w:r w:rsidRPr="00853722">
        <w:rPr>
          <w:sz w:val="20"/>
          <w:szCs w:val="20"/>
        </w:rPr>
        <w:t xml:space="preserve">A administração das doses deve ser instituída tão cedo quanto possível, após o surgimento da infecção. O tratamento proporciona melhores resultados se for iniciado assim que apareçam as erupções cutâneas. </w:t>
      </w:r>
    </w:p>
    <w:p w14:paraId="4E0C34EB" w14:textId="77777777" w:rsidR="00936AA7" w:rsidRDefault="00936AA7" w:rsidP="00936AA7">
      <w:pPr>
        <w:pStyle w:val="Default"/>
        <w:spacing w:line="280" w:lineRule="atLeast"/>
        <w:jc w:val="both"/>
        <w:rPr>
          <w:b/>
          <w:bCs/>
          <w:sz w:val="20"/>
          <w:szCs w:val="20"/>
        </w:rPr>
      </w:pPr>
    </w:p>
    <w:p w14:paraId="455701A6" w14:textId="7424B32C" w:rsidR="00936AA7" w:rsidRPr="00853722" w:rsidRDefault="00936AA7" w:rsidP="00936AA7">
      <w:pPr>
        <w:pStyle w:val="Default"/>
        <w:spacing w:line="280" w:lineRule="atLeast"/>
        <w:jc w:val="both"/>
        <w:rPr>
          <w:sz w:val="20"/>
          <w:szCs w:val="20"/>
        </w:rPr>
      </w:pPr>
      <w:r w:rsidRPr="00853722">
        <w:rPr>
          <w:b/>
          <w:bCs/>
          <w:sz w:val="20"/>
          <w:szCs w:val="20"/>
        </w:rPr>
        <w:lastRenderedPageBreak/>
        <w:t>Tratamento em paciente</w:t>
      </w:r>
      <w:r w:rsidR="00C645E2">
        <w:rPr>
          <w:b/>
          <w:bCs/>
          <w:sz w:val="20"/>
          <w:szCs w:val="20"/>
        </w:rPr>
        <w:t>s gravemente imunocomprometidos</w:t>
      </w:r>
    </w:p>
    <w:p w14:paraId="35E714D2" w14:textId="77777777" w:rsidR="00936AA7" w:rsidRPr="00853722" w:rsidRDefault="00936AA7" w:rsidP="00936AA7">
      <w:pPr>
        <w:pStyle w:val="Default"/>
        <w:spacing w:line="280" w:lineRule="atLeast"/>
        <w:jc w:val="both"/>
        <w:rPr>
          <w:sz w:val="20"/>
          <w:szCs w:val="20"/>
        </w:rPr>
      </w:pPr>
      <w:r w:rsidRPr="00853722">
        <w:rPr>
          <w:sz w:val="20"/>
          <w:szCs w:val="20"/>
        </w:rPr>
        <w:t xml:space="preserve">Doses de 800 mg de </w:t>
      </w:r>
      <w:r w:rsidRPr="008E4C0C">
        <w:rPr>
          <w:bCs/>
          <w:sz w:val="20"/>
          <w:szCs w:val="20"/>
        </w:rPr>
        <w:t>HERVIRAX</w:t>
      </w:r>
      <w:r w:rsidRPr="00853722">
        <w:rPr>
          <w:sz w:val="20"/>
          <w:szCs w:val="20"/>
        </w:rPr>
        <w:t>, quatro vezes ao dia, em intervalos</w:t>
      </w:r>
      <w:r>
        <w:rPr>
          <w:sz w:val="20"/>
          <w:szCs w:val="20"/>
        </w:rPr>
        <w:t xml:space="preserve"> de aproximadamente seis horas.</w:t>
      </w:r>
    </w:p>
    <w:p w14:paraId="7D169C1E" w14:textId="77777777" w:rsidR="00936AA7" w:rsidRPr="00853722" w:rsidRDefault="00936AA7" w:rsidP="00936AA7">
      <w:pPr>
        <w:pStyle w:val="Default"/>
        <w:spacing w:line="280" w:lineRule="atLeast"/>
        <w:jc w:val="both"/>
        <w:rPr>
          <w:sz w:val="20"/>
          <w:szCs w:val="20"/>
        </w:rPr>
      </w:pPr>
      <w:r w:rsidRPr="00853722">
        <w:rPr>
          <w:sz w:val="20"/>
          <w:szCs w:val="20"/>
        </w:rPr>
        <w:t xml:space="preserve">No tratamento de pacientes receptores de medula óssea, esta dose deve ser precedida por terapia de um mês com </w:t>
      </w:r>
      <w:r>
        <w:rPr>
          <w:bCs/>
          <w:sz w:val="20"/>
          <w:szCs w:val="20"/>
        </w:rPr>
        <w:t>aciclovir</w:t>
      </w:r>
      <w:r w:rsidRPr="002E5C76">
        <w:rPr>
          <w:bCs/>
          <w:sz w:val="20"/>
          <w:szCs w:val="20"/>
        </w:rPr>
        <w:t xml:space="preserve"> </w:t>
      </w:r>
      <w:r w:rsidRPr="00853722">
        <w:rPr>
          <w:sz w:val="20"/>
          <w:szCs w:val="20"/>
        </w:rPr>
        <w:t xml:space="preserve">intravenoso. </w:t>
      </w:r>
    </w:p>
    <w:p w14:paraId="67703750" w14:textId="77777777" w:rsidR="00936AA7" w:rsidRPr="00853722" w:rsidRDefault="00936AA7" w:rsidP="00936AA7">
      <w:pPr>
        <w:pStyle w:val="Default"/>
        <w:spacing w:line="280" w:lineRule="atLeast"/>
        <w:jc w:val="both"/>
        <w:rPr>
          <w:sz w:val="20"/>
          <w:szCs w:val="20"/>
        </w:rPr>
      </w:pPr>
      <w:r w:rsidRPr="00853722">
        <w:rPr>
          <w:sz w:val="20"/>
          <w:szCs w:val="20"/>
        </w:rPr>
        <w:t xml:space="preserve">A duração do tratamento estudada em pacientes após transplante de medula óssea foi de seis meses (de um a sete meses após o transplante). Em pacientes portadores de HIV avançado, o tratamento estudado foi de 12 meses, mas é desejável que estes pacientes continuem o tratamento por um período maior. </w:t>
      </w:r>
    </w:p>
    <w:p w14:paraId="5706E130" w14:textId="77777777" w:rsidR="00936AA7" w:rsidRDefault="00936AA7" w:rsidP="00936AA7">
      <w:pPr>
        <w:pStyle w:val="Default"/>
        <w:spacing w:line="280" w:lineRule="atLeast"/>
        <w:jc w:val="both"/>
        <w:rPr>
          <w:b/>
          <w:bCs/>
          <w:sz w:val="20"/>
          <w:szCs w:val="20"/>
        </w:rPr>
      </w:pPr>
    </w:p>
    <w:p w14:paraId="3DF9C235" w14:textId="3EADEEAF" w:rsidR="00936AA7" w:rsidRDefault="00C645E2" w:rsidP="00936AA7">
      <w:pPr>
        <w:pStyle w:val="Default"/>
        <w:spacing w:line="280" w:lineRule="atLeast"/>
        <w:jc w:val="both"/>
        <w:rPr>
          <w:b/>
          <w:bCs/>
          <w:sz w:val="20"/>
          <w:szCs w:val="20"/>
        </w:rPr>
      </w:pPr>
      <w:r>
        <w:rPr>
          <w:b/>
          <w:bCs/>
          <w:sz w:val="20"/>
          <w:szCs w:val="20"/>
        </w:rPr>
        <w:t>Crianças</w:t>
      </w:r>
    </w:p>
    <w:p w14:paraId="319C47F1" w14:textId="77777777" w:rsidR="00936AA7" w:rsidRPr="0072222A" w:rsidRDefault="00936AA7" w:rsidP="00936AA7">
      <w:pPr>
        <w:pStyle w:val="Default"/>
        <w:spacing w:line="280" w:lineRule="atLeast"/>
        <w:jc w:val="both"/>
        <w:rPr>
          <w:b/>
          <w:bCs/>
          <w:szCs w:val="20"/>
        </w:rPr>
      </w:pPr>
      <w:r w:rsidRPr="0072222A">
        <w:rPr>
          <w:sz w:val="20"/>
          <w:szCs w:val="16"/>
        </w:rPr>
        <w:t xml:space="preserve">Para profilaxia/prevenção de infecções por vírus </w:t>
      </w:r>
      <w:r w:rsidRPr="0072222A">
        <w:rPr>
          <w:i/>
          <w:iCs/>
          <w:sz w:val="20"/>
          <w:szCs w:val="16"/>
        </w:rPr>
        <w:t xml:space="preserve">Herpes simplex </w:t>
      </w:r>
      <w:r w:rsidRPr="0072222A">
        <w:rPr>
          <w:sz w:val="20"/>
          <w:szCs w:val="16"/>
        </w:rPr>
        <w:t>em crianças imunocomprometidas com mais de 6 anos de idade, as doses são as mesmas indicadas para adultos.</w:t>
      </w:r>
    </w:p>
    <w:p w14:paraId="5380B67A" w14:textId="77777777" w:rsidR="00936AA7" w:rsidRPr="00853722" w:rsidRDefault="00936AA7" w:rsidP="00936AA7">
      <w:pPr>
        <w:pStyle w:val="Default"/>
        <w:spacing w:line="280" w:lineRule="atLeast"/>
        <w:jc w:val="both"/>
        <w:rPr>
          <w:sz w:val="20"/>
          <w:szCs w:val="20"/>
        </w:rPr>
      </w:pPr>
      <w:r w:rsidRPr="00853722">
        <w:rPr>
          <w:sz w:val="20"/>
          <w:szCs w:val="20"/>
        </w:rPr>
        <w:t xml:space="preserve">Não há dados disponíveis relativos à supressão de infecções por </w:t>
      </w:r>
      <w:r w:rsidRPr="00DC27A3">
        <w:rPr>
          <w:i/>
          <w:sz w:val="20"/>
          <w:szCs w:val="20"/>
        </w:rPr>
        <w:t xml:space="preserve">Herpes simplex </w:t>
      </w:r>
      <w:r w:rsidRPr="00853722">
        <w:rPr>
          <w:sz w:val="20"/>
          <w:szCs w:val="20"/>
        </w:rPr>
        <w:t xml:space="preserve">ou ao tratamento de infecção de Herpes zoster em crianças imunocompetentes. </w:t>
      </w:r>
    </w:p>
    <w:p w14:paraId="0BE53C91" w14:textId="26142F3C" w:rsidR="00936AA7" w:rsidRDefault="00936AA7" w:rsidP="00936AA7">
      <w:pPr>
        <w:pStyle w:val="Default"/>
        <w:spacing w:line="280" w:lineRule="atLeast"/>
        <w:jc w:val="both"/>
        <w:rPr>
          <w:sz w:val="20"/>
          <w:szCs w:val="20"/>
        </w:rPr>
      </w:pPr>
      <w:r w:rsidRPr="00DC27A3">
        <w:rPr>
          <w:sz w:val="20"/>
          <w:szCs w:val="20"/>
        </w:rPr>
        <w:t>A indicação de HERVIRAX</w:t>
      </w:r>
      <w:r w:rsidRPr="00DC27A3">
        <w:rPr>
          <w:b/>
          <w:bCs/>
          <w:position w:val="8"/>
          <w:sz w:val="20"/>
          <w:szCs w:val="20"/>
          <w:vertAlign w:val="superscript"/>
        </w:rPr>
        <w:t xml:space="preserve"> </w:t>
      </w:r>
      <w:r w:rsidR="004448E1">
        <w:rPr>
          <w:sz w:val="20"/>
          <w:szCs w:val="20"/>
        </w:rPr>
        <w:t>comprimido</w:t>
      </w:r>
      <w:r w:rsidRPr="00DC27A3">
        <w:rPr>
          <w:sz w:val="20"/>
          <w:szCs w:val="20"/>
        </w:rPr>
        <w:t xml:space="preserve"> na população pediátrica deve ser avaliada pelo médico de acordo com a capacidade de deglutição da criança.</w:t>
      </w:r>
    </w:p>
    <w:p w14:paraId="74513CC5" w14:textId="77777777" w:rsidR="00936AA7" w:rsidRDefault="00936AA7" w:rsidP="00936AA7">
      <w:pPr>
        <w:pStyle w:val="Default"/>
        <w:spacing w:line="280" w:lineRule="atLeast"/>
        <w:jc w:val="both"/>
        <w:rPr>
          <w:sz w:val="20"/>
          <w:szCs w:val="20"/>
        </w:rPr>
      </w:pPr>
    </w:p>
    <w:p w14:paraId="6B955750" w14:textId="6B0CA397" w:rsidR="00936AA7" w:rsidRPr="00DC27A3" w:rsidRDefault="00936AA7" w:rsidP="00936AA7">
      <w:pPr>
        <w:pStyle w:val="Default"/>
        <w:spacing w:line="280" w:lineRule="atLeast"/>
        <w:rPr>
          <w:b/>
          <w:sz w:val="20"/>
          <w:szCs w:val="20"/>
        </w:rPr>
      </w:pPr>
      <w:r>
        <w:rPr>
          <w:b/>
          <w:bCs/>
          <w:sz w:val="20"/>
          <w:szCs w:val="20"/>
        </w:rPr>
        <w:t>Pacientes idosos</w:t>
      </w:r>
    </w:p>
    <w:p w14:paraId="5B437ABE" w14:textId="77777777" w:rsidR="00936AA7" w:rsidRPr="00DC27A3" w:rsidRDefault="00936AA7" w:rsidP="00936AA7">
      <w:pPr>
        <w:pStyle w:val="Default"/>
        <w:spacing w:line="280" w:lineRule="atLeast"/>
        <w:jc w:val="both"/>
        <w:rPr>
          <w:sz w:val="20"/>
          <w:szCs w:val="20"/>
        </w:rPr>
      </w:pPr>
      <w:r w:rsidRPr="00DC27A3">
        <w:rPr>
          <w:sz w:val="20"/>
          <w:szCs w:val="20"/>
        </w:rPr>
        <w:t>A possibilidade de insuficiência renal em idosos deve ser conside</w:t>
      </w:r>
      <w:r>
        <w:rPr>
          <w:sz w:val="20"/>
          <w:szCs w:val="20"/>
        </w:rPr>
        <w:t xml:space="preserve">rada e a dose deve ser ajustada </w:t>
      </w:r>
      <w:r w:rsidRPr="00DC27A3">
        <w:rPr>
          <w:sz w:val="20"/>
          <w:szCs w:val="20"/>
        </w:rPr>
        <w:t>apropriadam</w:t>
      </w:r>
      <w:r>
        <w:rPr>
          <w:sz w:val="20"/>
          <w:szCs w:val="20"/>
        </w:rPr>
        <w:t>ente (ver Insuficiência renal).</w:t>
      </w:r>
    </w:p>
    <w:p w14:paraId="46C8AD67" w14:textId="77777777" w:rsidR="00936AA7" w:rsidRPr="00DC27A3" w:rsidRDefault="00936AA7" w:rsidP="00936AA7">
      <w:pPr>
        <w:pStyle w:val="Default"/>
        <w:spacing w:line="280" w:lineRule="atLeast"/>
        <w:jc w:val="both"/>
        <w:rPr>
          <w:sz w:val="20"/>
          <w:szCs w:val="20"/>
        </w:rPr>
      </w:pPr>
      <w:r w:rsidRPr="00DC27A3">
        <w:rPr>
          <w:sz w:val="20"/>
          <w:szCs w:val="20"/>
        </w:rPr>
        <w:t xml:space="preserve">Em pacientes idosos que estejam usando altas doses de </w:t>
      </w:r>
      <w:r>
        <w:rPr>
          <w:sz w:val="20"/>
          <w:szCs w:val="20"/>
        </w:rPr>
        <w:t>HERVIRAX</w:t>
      </w:r>
      <w:r w:rsidRPr="00DC27A3">
        <w:rPr>
          <w:bCs/>
          <w:position w:val="8"/>
          <w:sz w:val="20"/>
          <w:szCs w:val="20"/>
          <w:vertAlign w:val="superscript"/>
        </w:rPr>
        <w:t xml:space="preserve"> </w:t>
      </w:r>
      <w:r w:rsidRPr="00DC27A3">
        <w:rPr>
          <w:sz w:val="20"/>
          <w:szCs w:val="20"/>
        </w:rPr>
        <w:t>deve-se manter hidratação adequada.</w:t>
      </w:r>
    </w:p>
    <w:p w14:paraId="1BB13537" w14:textId="77777777" w:rsidR="00936AA7" w:rsidRDefault="00936AA7" w:rsidP="00936AA7">
      <w:pPr>
        <w:pStyle w:val="Default"/>
        <w:spacing w:line="280" w:lineRule="atLeast"/>
        <w:jc w:val="both"/>
        <w:rPr>
          <w:b/>
          <w:bCs/>
          <w:sz w:val="20"/>
          <w:szCs w:val="20"/>
        </w:rPr>
      </w:pPr>
    </w:p>
    <w:p w14:paraId="78534EED" w14:textId="5768D051" w:rsidR="00936AA7" w:rsidRPr="00853722" w:rsidRDefault="00C645E2" w:rsidP="00936AA7">
      <w:pPr>
        <w:pStyle w:val="Default"/>
        <w:spacing w:line="280" w:lineRule="atLeast"/>
        <w:jc w:val="both"/>
        <w:rPr>
          <w:sz w:val="20"/>
          <w:szCs w:val="20"/>
        </w:rPr>
      </w:pPr>
      <w:r>
        <w:rPr>
          <w:b/>
          <w:bCs/>
          <w:sz w:val="20"/>
          <w:szCs w:val="20"/>
        </w:rPr>
        <w:t>Insuficiência renal</w:t>
      </w:r>
    </w:p>
    <w:p w14:paraId="2F07D309" w14:textId="77777777" w:rsidR="00936AA7" w:rsidRPr="00853722" w:rsidRDefault="00936AA7" w:rsidP="00936AA7">
      <w:pPr>
        <w:pStyle w:val="Default"/>
        <w:spacing w:line="280" w:lineRule="atLeast"/>
        <w:jc w:val="both"/>
        <w:rPr>
          <w:sz w:val="20"/>
          <w:szCs w:val="20"/>
        </w:rPr>
      </w:pPr>
      <w:r w:rsidRPr="008E4C0C">
        <w:rPr>
          <w:bCs/>
          <w:sz w:val="20"/>
          <w:szCs w:val="20"/>
        </w:rPr>
        <w:t>HERVIRAX</w:t>
      </w:r>
      <w:r>
        <w:rPr>
          <w:bCs/>
          <w:sz w:val="20"/>
          <w:szCs w:val="20"/>
        </w:rPr>
        <w:t xml:space="preserve"> </w:t>
      </w:r>
      <w:r w:rsidRPr="00853722">
        <w:rPr>
          <w:sz w:val="20"/>
          <w:szCs w:val="20"/>
        </w:rPr>
        <w:t xml:space="preserve">deve ser administrado com cautela a pacientes com insuficiência renal. Hidratação adequada deve ser mantida. </w:t>
      </w:r>
    </w:p>
    <w:p w14:paraId="5A37BA56" w14:textId="77777777" w:rsidR="00936AA7" w:rsidRPr="00853722" w:rsidRDefault="00936AA7" w:rsidP="00936AA7">
      <w:pPr>
        <w:pStyle w:val="Default"/>
        <w:spacing w:line="280" w:lineRule="atLeast"/>
        <w:jc w:val="both"/>
        <w:rPr>
          <w:sz w:val="20"/>
          <w:szCs w:val="20"/>
        </w:rPr>
      </w:pPr>
      <w:r w:rsidRPr="00853722">
        <w:rPr>
          <w:sz w:val="20"/>
          <w:szCs w:val="20"/>
        </w:rPr>
        <w:t>Para o tratamento e a profilaxia de infecções de Herpes simples, em pacientes com insuficiência renal, as doses orais recomendadas não levarão ao acúmulo de aciclovir acima dos níveis que foram estabelecidos como sendo seguros por infusão intravenosa. Entretanto, para pacientes com insuficiência renal grave (</w:t>
      </w:r>
      <w:r w:rsidRPr="00853722">
        <w:rPr>
          <w:i/>
          <w:iCs/>
          <w:sz w:val="20"/>
          <w:szCs w:val="20"/>
        </w:rPr>
        <w:t xml:space="preserve">clearance </w:t>
      </w:r>
      <w:r w:rsidRPr="00853722">
        <w:rPr>
          <w:sz w:val="20"/>
          <w:szCs w:val="20"/>
        </w:rPr>
        <w:t>da creatinina inferior a 10 mL/minuto), recomenda-se ajuste de dose para 200 mg, duas vezes ao dia, em interval</w:t>
      </w:r>
      <w:r>
        <w:rPr>
          <w:sz w:val="20"/>
          <w:szCs w:val="20"/>
        </w:rPr>
        <w:t>os de aproximadamente 12 horas.</w:t>
      </w:r>
    </w:p>
    <w:p w14:paraId="26F46CAE" w14:textId="77777777" w:rsidR="00936AA7" w:rsidRPr="00853722" w:rsidRDefault="00936AA7" w:rsidP="00936AA7">
      <w:pPr>
        <w:pStyle w:val="Default"/>
        <w:spacing w:line="280" w:lineRule="atLeast"/>
        <w:jc w:val="both"/>
        <w:rPr>
          <w:sz w:val="20"/>
          <w:szCs w:val="20"/>
        </w:rPr>
      </w:pPr>
      <w:r w:rsidRPr="00853722">
        <w:rPr>
          <w:sz w:val="20"/>
          <w:szCs w:val="20"/>
        </w:rPr>
        <w:t>Para o tratamento das infecções de Herpes zoster e na administração a pacientes seriamente imunocomprometidos, recomenda-se ajustar a dose para 800 mg, duas vezes ao dia, em intervalos de aproximadamente 12 horas, nos pacientes com insuficiência renal grave (</w:t>
      </w:r>
      <w:r w:rsidRPr="00853722">
        <w:rPr>
          <w:i/>
          <w:iCs/>
          <w:sz w:val="20"/>
          <w:szCs w:val="20"/>
        </w:rPr>
        <w:t xml:space="preserve">clearance </w:t>
      </w:r>
      <w:r w:rsidRPr="00853722">
        <w:rPr>
          <w:sz w:val="20"/>
          <w:szCs w:val="20"/>
        </w:rPr>
        <w:t>da creatinina inferior a 10 mL/minuto), e para 800 mg, três ou quatro vezes ao dia, em intervalos de aproximadamente oito horas para pacientes com insuficiência renal moderada (</w:t>
      </w:r>
      <w:r w:rsidRPr="00853722">
        <w:rPr>
          <w:i/>
          <w:iCs/>
          <w:sz w:val="20"/>
          <w:szCs w:val="20"/>
        </w:rPr>
        <w:t xml:space="preserve">clearance </w:t>
      </w:r>
      <w:r w:rsidRPr="00853722">
        <w:rPr>
          <w:sz w:val="20"/>
          <w:szCs w:val="20"/>
        </w:rPr>
        <w:t>da creatinin</w:t>
      </w:r>
      <w:r>
        <w:rPr>
          <w:sz w:val="20"/>
          <w:szCs w:val="20"/>
        </w:rPr>
        <w:t>a na faixa de 10-25 mL/minuto).</w:t>
      </w:r>
    </w:p>
    <w:p w14:paraId="09FA1738" w14:textId="77777777" w:rsidR="00936AA7" w:rsidRDefault="00936AA7" w:rsidP="00936AA7">
      <w:pPr>
        <w:pStyle w:val="Default"/>
        <w:spacing w:line="280" w:lineRule="atLeast"/>
        <w:jc w:val="both"/>
        <w:rPr>
          <w:b/>
          <w:bCs/>
          <w:sz w:val="20"/>
          <w:szCs w:val="20"/>
        </w:rPr>
      </w:pPr>
    </w:p>
    <w:p w14:paraId="5A59882C" w14:textId="77777777" w:rsidR="00936AA7" w:rsidRPr="00853722" w:rsidRDefault="00936AA7" w:rsidP="00936AA7">
      <w:pPr>
        <w:pStyle w:val="Default"/>
        <w:spacing w:line="280" w:lineRule="atLeast"/>
        <w:jc w:val="both"/>
        <w:rPr>
          <w:sz w:val="20"/>
          <w:szCs w:val="20"/>
        </w:rPr>
      </w:pPr>
      <w:r w:rsidRPr="00853722">
        <w:rPr>
          <w:b/>
          <w:bCs/>
          <w:sz w:val="20"/>
          <w:szCs w:val="20"/>
        </w:rPr>
        <w:t xml:space="preserve">9. REAÇÕES ADVERSAS </w:t>
      </w:r>
    </w:p>
    <w:p w14:paraId="37C9EF1B" w14:textId="77777777" w:rsidR="00936AA7" w:rsidRPr="00846B20" w:rsidRDefault="00936AA7" w:rsidP="00936AA7">
      <w:pPr>
        <w:pStyle w:val="Default"/>
        <w:spacing w:line="280" w:lineRule="atLeast"/>
        <w:jc w:val="both"/>
        <w:rPr>
          <w:sz w:val="20"/>
          <w:szCs w:val="20"/>
        </w:rPr>
      </w:pPr>
      <w:r w:rsidRPr="00846B20">
        <w:rPr>
          <w:sz w:val="20"/>
          <w:szCs w:val="20"/>
        </w:rPr>
        <w:t xml:space="preserve">As categorias de frequência associadas às reações adversas listadas abaixo são estimadas. Para a maioria dos eventos, não estavam disponíveis dados adequados para estimar a incidência. Além disso, eventos adversos podem variar sua incidência dependendo da indicação. </w:t>
      </w:r>
    </w:p>
    <w:p w14:paraId="58E6A098" w14:textId="77777777" w:rsidR="00936AA7" w:rsidRPr="00846B20" w:rsidRDefault="00936AA7" w:rsidP="00936AA7">
      <w:pPr>
        <w:pStyle w:val="Default"/>
        <w:spacing w:line="280" w:lineRule="atLeast"/>
        <w:jc w:val="both"/>
        <w:rPr>
          <w:sz w:val="20"/>
          <w:szCs w:val="20"/>
        </w:rPr>
      </w:pPr>
    </w:p>
    <w:p w14:paraId="22ABD37E" w14:textId="77777777" w:rsidR="00936AA7" w:rsidRPr="00846B20" w:rsidRDefault="00936AA7" w:rsidP="00936AA7">
      <w:pPr>
        <w:pStyle w:val="Default"/>
        <w:spacing w:line="280" w:lineRule="atLeast"/>
        <w:jc w:val="both"/>
        <w:rPr>
          <w:sz w:val="20"/>
          <w:szCs w:val="20"/>
        </w:rPr>
      </w:pPr>
      <w:r w:rsidRPr="00846B20">
        <w:rPr>
          <w:sz w:val="20"/>
          <w:szCs w:val="20"/>
        </w:rPr>
        <w:t xml:space="preserve">Reação muito comum (&gt; 1/10) </w:t>
      </w:r>
    </w:p>
    <w:p w14:paraId="34DD4E4F" w14:textId="77777777" w:rsidR="00936AA7" w:rsidRPr="00846B20" w:rsidRDefault="00936AA7" w:rsidP="00936AA7">
      <w:pPr>
        <w:pStyle w:val="Default"/>
        <w:spacing w:line="280" w:lineRule="atLeast"/>
        <w:jc w:val="both"/>
        <w:rPr>
          <w:sz w:val="20"/>
          <w:szCs w:val="20"/>
        </w:rPr>
      </w:pPr>
      <w:r w:rsidRPr="00846B20">
        <w:rPr>
          <w:sz w:val="20"/>
          <w:szCs w:val="20"/>
        </w:rPr>
        <w:t xml:space="preserve">Reação comum (&gt; 1/100 e &lt; 1/10) </w:t>
      </w:r>
    </w:p>
    <w:p w14:paraId="2911F5C2" w14:textId="77777777" w:rsidR="00936AA7" w:rsidRPr="00846B20" w:rsidRDefault="00936AA7" w:rsidP="00936AA7">
      <w:pPr>
        <w:pStyle w:val="Default"/>
        <w:spacing w:line="280" w:lineRule="atLeast"/>
        <w:jc w:val="both"/>
        <w:rPr>
          <w:sz w:val="20"/>
          <w:szCs w:val="20"/>
        </w:rPr>
      </w:pPr>
      <w:r w:rsidRPr="00846B20">
        <w:rPr>
          <w:sz w:val="20"/>
          <w:szCs w:val="20"/>
        </w:rPr>
        <w:t xml:space="preserve">Reação incomum (&gt; 1/1.000 e &lt; 1/100) </w:t>
      </w:r>
    </w:p>
    <w:p w14:paraId="310DCAC6" w14:textId="77777777" w:rsidR="00936AA7" w:rsidRPr="00846B20" w:rsidRDefault="00936AA7" w:rsidP="00936AA7">
      <w:pPr>
        <w:pStyle w:val="Default"/>
        <w:spacing w:line="280" w:lineRule="atLeast"/>
        <w:jc w:val="both"/>
        <w:rPr>
          <w:sz w:val="20"/>
          <w:szCs w:val="20"/>
        </w:rPr>
      </w:pPr>
      <w:r w:rsidRPr="00846B20">
        <w:rPr>
          <w:sz w:val="20"/>
          <w:szCs w:val="20"/>
        </w:rPr>
        <w:t xml:space="preserve">Reação rara (&gt; 1/10.000 e &lt; 1/1.000) </w:t>
      </w:r>
    </w:p>
    <w:p w14:paraId="7928E9B7" w14:textId="77777777" w:rsidR="00936AA7" w:rsidRPr="00846B20" w:rsidRDefault="00936AA7" w:rsidP="00936AA7">
      <w:pPr>
        <w:pStyle w:val="Default"/>
        <w:spacing w:line="280" w:lineRule="atLeast"/>
        <w:jc w:val="both"/>
        <w:rPr>
          <w:b/>
          <w:bCs/>
          <w:sz w:val="20"/>
          <w:szCs w:val="20"/>
        </w:rPr>
      </w:pPr>
      <w:r w:rsidRPr="00846B20">
        <w:rPr>
          <w:sz w:val="20"/>
          <w:szCs w:val="20"/>
        </w:rPr>
        <w:t>Reação muito rara (&lt; 1/10.000)</w:t>
      </w:r>
    </w:p>
    <w:p w14:paraId="319AFEE1" w14:textId="77777777" w:rsidR="00936AA7" w:rsidRDefault="00936AA7" w:rsidP="00936AA7">
      <w:pPr>
        <w:pStyle w:val="Default"/>
        <w:spacing w:line="280" w:lineRule="atLeast"/>
        <w:jc w:val="both"/>
        <w:rPr>
          <w:b/>
          <w:bCs/>
          <w:sz w:val="20"/>
          <w:szCs w:val="20"/>
        </w:rPr>
      </w:pPr>
    </w:p>
    <w:p w14:paraId="2230B8B6" w14:textId="77777777" w:rsidR="00936AA7" w:rsidRPr="00846B20" w:rsidRDefault="00936AA7" w:rsidP="00936AA7">
      <w:pPr>
        <w:pStyle w:val="Default"/>
        <w:spacing w:line="280" w:lineRule="atLeast"/>
        <w:jc w:val="both"/>
        <w:rPr>
          <w:sz w:val="20"/>
          <w:szCs w:val="20"/>
        </w:rPr>
      </w:pPr>
      <w:r w:rsidRPr="00846B20">
        <w:rPr>
          <w:b/>
          <w:bCs/>
          <w:sz w:val="20"/>
          <w:szCs w:val="20"/>
        </w:rPr>
        <w:t xml:space="preserve">Reações comuns (&gt;1/100 e &lt;1/10): </w:t>
      </w:r>
    </w:p>
    <w:p w14:paraId="422ACFB8" w14:textId="4D3BBD2E" w:rsidR="00936AA7" w:rsidRPr="00846B20" w:rsidRDefault="00936AA7" w:rsidP="00936AA7">
      <w:pPr>
        <w:pStyle w:val="Default"/>
        <w:spacing w:line="280" w:lineRule="atLeast"/>
        <w:jc w:val="both"/>
        <w:rPr>
          <w:sz w:val="20"/>
          <w:szCs w:val="20"/>
        </w:rPr>
      </w:pPr>
      <w:r w:rsidRPr="00846B20">
        <w:rPr>
          <w:sz w:val="20"/>
          <w:szCs w:val="20"/>
        </w:rPr>
        <w:t>- dor de cabeça, tonteira. Estas reações são reversíveis, e geralmente relatadas por pacientes com distúrbios renais, ou com outros fatores predisponentes (</w:t>
      </w:r>
      <w:r w:rsidR="0074392A">
        <w:rPr>
          <w:sz w:val="20"/>
          <w:szCs w:val="20"/>
        </w:rPr>
        <w:t>ver Advertências e Precauções);</w:t>
      </w:r>
    </w:p>
    <w:p w14:paraId="7F6FA91F" w14:textId="77777777" w:rsidR="00936AA7" w:rsidRPr="00846B20" w:rsidRDefault="00936AA7" w:rsidP="00936AA7">
      <w:pPr>
        <w:pStyle w:val="Default"/>
        <w:spacing w:line="280" w:lineRule="atLeast"/>
        <w:jc w:val="both"/>
        <w:rPr>
          <w:sz w:val="20"/>
          <w:szCs w:val="20"/>
        </w:rPr>
      </w:pPr>
      <w:r w:rsidRPr="00846B20">
        <w:rPr>
          <w:sz w:val="20"/>
          <w:szCs w:val="20"/>
        </w:rPr>
        <w:t>- náusea, vômi</w:t>
      </w:r>
      <w:r>
        <w:rPr>
          <w:sz w:val="20"/>
          <w:szCs w:val="20"/>
        </w:rPr>
        <w:t>to, diarreia, dores abdominais;</w:t>
      </w:r>
    </w:p>
    <w:p w14:paraId="79B7FDF3" w14:textId="77777777" w:rsidR="00936AA7" w:rsidRPr="00846B20" w:rsidRDefault="00936AA7" w:rsidP="00936AA7">
      <w:pPr>
        <w:pStyle w:val="Default"/>
        <w:spacing w:line="280" w:lineRule="atLeast"/>
        <w:jc w:val="both"/>
        <w:rPr>
          <w:sz w:val="20"/>
          <w:szCs w:val="20"/>
        </w:rPr>
      </w:pPr>
      <w:r w:rsidRPr="00846B20">
        <w:rPr>
          <w:sz w:val="20"/>
          <w:szCs w:val="20"/>
        </w:rPr>
        <w:t xml:space="preserve">- prurido, erupções cutâneas </w:t>
      </w:r>
      <w:r>
        <w:rPr>
          <w:sz w:val="20"/>
          <w:szCs w:val="20"/>
        </w:rPr>
        <w:t>(incluindo fotossensibilidade);</w:t>
      </w:r>
    </w:p>
    <w:p w14:paraId="22963E80" w14:textId="77777777" w:rsidR="00936AA7" w:rsidRPr="00846B20" w:rsidRDefault="00936AA7" w:rsidP="00936AA7">
      <w:pPr>
        <w:pStyle w:val="Default"/>
        <w:spacing w:line="280" w:lineRule="atLeast"/>
        <w:jc w:val="both"/>
        <w:rPr>
          <w:sz w:val="20"/>
          <w:szCs w:val="20"/>
        </w:rPr>
      </w:pPr>
      <w:r w:rsidRPr="00846B20">
        <w:rPr>
          <w:sz w:val="20"/>
          <w:szCs w:val="20"/>
        </w:rPr>
        <w:t>- fadiga, febre.</w:t>
      </w:r>
    </w:p>
    <w:p w14:paraId="78E88BA3" w14:textId="77777777" w:rsidR="00936AA7" w:rsidRPr="00846B20" w:rsidRDefault="00936AA7" w:rsidP="00936AA7">
      <w:pPr>
        <w:pStyle w:val="Default"/>
        <w:spacing w:line="280" w:lineRule="atLeast"/>
        <w:jc w:val="both"/>
        <w:rPr>
          <w:b/>
          <w:bCs/>
          <w:sz w:val="20"/>
          <w:szCs w:val="20"/>
        </w:rPr>
      </w:pPr>
    </w:p>
    <w:p w14:paraId="0C41F5F0" w14:textId="77777777" w:rsidR="00936AA7" w:rsidRPr="00846B20" w:rsidRDefault="00936AA7" w:rsidP="00936AA7">
      <w:pPr>
        <w:pStyle w:val="Default"/>
        <w:spacing w:line="280" w:lineRule="atLeast"/>
        <w:jc w:val="both"/>
        <w:rPr>
          <w:sz w:val="20"/>
          <w:szCs w:val="20"/>
        </w:rPr>
      </w:pPr>
      <w:r w:rsidRPr="00846B20">
        <w:rPr>
          <w:b/>
          <w:bCs/>
          <w:sz w:val="20"/>
          <w:szCs w:val="20"/>
        </w:rPr>
        <w:t>Reações incomuns (&gt;1.000 e &lt;1/100):</w:t>
      </w:r>
    </w:p>
    <w:p w14:paraId="5984A644" w14:textId="77777777" w:rsidR="00936AA7" w:rsidRDefault="00936AA7" w:rsidP="00936AA7">
      <w:pPr>
        <w:pStyle w:val="Default"/>
        <w:spacing w:line="280" w:lineRule="atLeast"/>
        <w:jc w:val="both"/>
        <w:rPr>
          <w:sz w:val="20"/>
          <w:szCs w:val="20"/>
        </w:rPr>
      </w:pPr>
      <w:r w:rsidRPr="00846B20">
        <w:rPr>
          <w:b/>
          <w:bCs/>
          <w:sz w:val="20"/>
          <w:szCs w:val="20"/>
        </w:rPr>
        <w:t xml:space="preserve">- </w:t>
      </w:r>
      <w:r w:rsidRPr="00846B20">
        <w:rPr>
          <w:sz w:val="20"/>
          <w:szCs w:val="20"/>
        </w:rPr>
        <w:t>urticária, alopecia difusa acelerada. Esta última reação está associada a uma grande variedade de doenças e medicamentos. A relação deste evento com a terapia com aciclovir é incerta.</w:t>
      </w:r>
    </w:p>
    <w:p w14:paraId="50EB73BE" w14:textId="77777777" w:rsidR="00936AA7" w:rsidRPr="003E6F07" w:rsidRDefault="00936AA7" w:rsidP="00936AA7">
      <w:pPr>
        <w:pStyle w:val="Default"/>
        <w:spacing w:line="280" w:lineRule="atLeast"/>
        <w:jc w:val="both"/>
        <w:rPr>
          <w:sz w:val="20"/>
          <w:szCs w:val="20"/>
        </w:rPr>
      </w:pPr>
    </w:p>
    <w:p w14:paraId="73C40F38" w14:textId="77777777" w:rsidR="00936AA7" w:rsidRPr="00846B20" w:rsidRDefault="00936AA7" w:rsidP="00936AA7">
      <w:pPr>
        <w:pStyle w:val="Default"/>
        <w:spacing w:line="280" w:lineRule="atLeast"/>
        <w:jc w:val="both"/>
        <w:rPr>
          <w:sz w:val="20"/>
          <w:szCs w:val="20"/>
        </w:rPr>
      </w:pPr>
      <w:r w:rsidRPr="00846B20">
        <w:rPr>
          <w:b/>
          <w:bCs/>
          <w:sz w:val="20"/>
          <w:szCs w:val="20"/>
        </w:rPr>
        <w:t>Reações raras (&gt;1/10.000 e &lt;1/1.000):</w:t>
      </w:r>
    </w:p>
    <w:p w14:paraId="4388D752" w14:textId="77777777" w:rsidR="00936AA7" w:rsidRPr="00846B20" w:rsidRDefault="00936AA7" w:rsidP="00936AA7">
      <w:pPr>
        <w:pStyle w:val="Default"/>
        <w:spacing w:line="280" w:lineRule="atLeast"/>
        <w:jc w:val="both"/>
        <w:rPr>
          <w:sz w:val="20"/>
          <w:szCs w:val="20"/>
        </w:rPr>
      </w:pPr>
      <w:r w:rsidRPr="00846B20">
        <w:rPr>
          <w:b/>
          <w:bCs/>
          <w:sz w:val="20"/>
          <w:szCs w:val="20"/>
        </w:rPr>
        <w:t xml:space="preserve">- </w:t>
      </w:r>
      <w:r>
        <w:rPr>
          <w:sz w:val="20"/>
          <w:szCs w:val="20"/>
        </w:rPr>
        <w:t>anafilaxia;</w:t>
      </w:r>
    </w:p>
    <w:p w14:paraId="73B947EB" w14:textId="77777777" w:rsidR="00936AA7" w:rsidRPr="00846B20" w:rsidRDefault="00936AA7" w:rsidP="00936AA7">
      <w:pPr>
        <w:pStyle w:val="Default"/>
        <w:spacing w:line="280" w:lineRule="atLeast"/>
        <w:jc w:val="both"/>
        <w:rPr>
          <w:sz w:val="20"/>
          <w:szCs w:val="20"/>
        </w:rPr>
      </w:pPr>
      <w:r>
        <w:rPr>
          <w:sz w:val="20"/>
          <w:szCs w:val="20"/>
        </w:rPr>
        <w:t>- dispneia;</w:t>
      </w:r>
    </w:p>
    <w:p w14:paraId="2608E820" w14:textId="77777777" w:rsidR="00936AA7" w:rsidRPr="00846B20" w:rsidRDefault="00936AA7" w:rsidP="00936AA7">
      <w:pPr>
        <w:pStyle w:val="Default"/>
        <w:spacing w:line="280" w:lineRule="atLeast"/>
        <w:jc w:val="both"/>
        <w:rPr>
          <w:sz w:val="20"/>
          <w:szCs w:val="20"/>
        </w:rPr>
      </w:pPr>
      <w:r w:rsidRPr="00846B20">
        <w:rPr>
          <w:sz w:val="20"/>
          <w:szCs w:val="20"/>
        </w:rPr>
        <w:t>- aumentos reversíveis da bilir</w:t>
      </w:r>
      <w:r>
        <w:rPr>
          <w:sz w:val="20"/>
          <w:szCs w:val="20"/>
        </w:rPr>
        <w:t>rubina e das enzimas hepáticas;</w:t>
      </w:r>
    </w:p>
    <w:p w14:paraId="3EBDE0E0" w14:textId="77777777" w:rsidR="00936AA7" w:rsidRPr="00846B20" w:rsidRDefault="00936AA7" w:rsidP="00936AA7">
      <w:pPr>
        <w:pStyle w:val="Default"/>
        <w:spacing w:line="280" w:lineRule="atLeast"/>
        <w:jc w:val="both"/>
        <w:rPr>
          <w:sz w:val="20"/>
          <w:szCs w:val="20"/>
        </w:rPr>
      </w:pPr>
      <w:r>
        <w:rPr>
          <w:sz w:val="20"/>
          <w:szCs w:val="20"/>
        </w:rPr>
        <w:t>- angioedema;</w:t>
      </w:r>
    </w:p>
    <w:p w14:paraId="1568D5A2" w14:textId="77777777" w:rsidR="00936AA7" w:rsidRPr="00846B20" w:rsidRDefault="00936AA7" w:rsidP="00936AA7">
      <w:pPr>
        <w:pStyle w:val="Default"/>
        <w:spacing w:line="280" w:lineRule="atLeast"/>
        <w:jc w:val="both"/>
        <w:rPr>
          <w:sz w:val="20"/>
          <w:szCs w:val="20"/>
        </w:rPr>
      </w:pPr>
      <w:r w:rsidRPr="00846B20">
        <w:rPr>
          <w:sz w:val="20"/>
          <w:szCs w:val="20"/>
        </w:rPr>
        <w:t>- aumento nos níveis d</w:t>
      </w:r>
      <w:r>
        <w:rPr>
          <w:sz w:val="20"/>
          <w:szCs w:val="20"/>
        </w:rPr>
        <w:t>e ureia e creatinina sanguínea.</w:t>
      </w:r>
    </w:p>
    <w:p w14:paraId="71D85CAC" w14:textId="77777777" w:rsidR="00936AA7" w:rsidRDefault="00936AA7" w:rsidP="00936AA7">
      <w:pPr>
        <w:pStyle w:val="Default"/>
        <w:spacing w:line="280" w:lineRule="atLeast"/>
        <w:jc w:val="both"/>
        <w:rPr>
          <w:b/>
          <w:bCs/>
          <w:sz w:val="20"/>
          <w:szCs w:val="20"/>
        </w:rPr>
      </w:pPr>
    </w:p>
    <w:p w14:paraId="146834DD" w14:textId="77777777" w:rsidR="00936AA7" w:rsidRPr="00846B20" w:rsidRDefault="00936AA7" w:rsidP="00936AA7">
      <w:pPr>
        <w:pStyle w:val="Default"/>
        <w:spacing w:line="280" w:lineRule="atLeast"/>
        <w:jc w:val="both"/>
        <w:rPr>
          <w:sz w:val="20"/>
          <w:szCs w:val="20"/>
        </w:rPr>
      </w:pPr>
      <w:r w:rsidRPr="00846B20">
        <w:rPr>
          <w:b/>
          <w:bCs/>
          <w:sz w:val="20"/>
          <w:szCs w:val="20"/>
        </w:rPr>
        <w:t>Reações muito raras (&lt;1/10.000):</w:t>
      </w:r>
    </w:p>
    <w:p w14:paraId="7CC0B7DB" w14:textId="77777777" w:rsidR="00936AA7" w:rsidRPr="00846B20" w:rsidRDefault="00936AA7" w:rsidP="00936AA7">
      <w:pPr>
        <w:pStyle w:val="Default"/>
        <w:spacing w:line="280" w:lineRule="atLeast"/>
        <w:jc w:val="both"/>
        <w:rPr>
          <w:sz w:val="20"/>
          <w:szCs w:val="20"/>
        </w:rPr>
      </w:pPr>
      <w:r w:rsidRPr="00846B20">
        <w:rPr>
          <w:sz w:val="20"/>
          <w:szCs w:val="20"/>
        </w:rPr>
        <w:t>- anemia</w:t>
      </w:r>
      <w:r>
        <w:rPr>
          <w:sz w:val="20"/>
          <w:szCs w:val="20"/>
        </w:rPr>
        <w:t>, leucopenia e trombocitopenia;</w:t>
      </w:r>
    </w:p>
    <w:p w14:paraId="085A47E5" w14:textId="539C3DC0" w:rsidR="00936AA7" w:rsidRPr="00846B20" w:rsidRDefault="00936AA7" w:rsidP="00936AA7">
      <w:pPr>
        <w:pStyle w:val="Default"/>
        <w:spacing w:line="280" w:lineRule="atLeast"/>
        <w:jc w:val="both"/>
        <w:rPr>
          <w:sz w:val="20"/>
          <w:szCs w:val="20"/>
        </w:rPr>
      </w:pPr>
      <w:r w:rsidRPr="00846B20">
        <w:rPr>
          <w:sz w:val="20"/>
          <w:szCs w:val="20"/>
        </w:rPr>
        <w:t>- agi</w:t>
      </w:r>
      <w:r w:rsidR="002034F6">
        <w:rPr>
          <w:sz w:val="20"/>
          <w:szCs w:val="20"/>
        </w:rPr>
        <w:t>tação, confusão, tremor, ataxia</w:t>
      </w:r>
      <w:r w:rsidRPr="00846B20">
        <w:rPr>
          <w:sz w:val="20"/>
          <w:szCs w:val="20"/>
        </w:rPr>
        <w:t>, disartria, alucinações, sintomas psicóticos, convulsões, sonolência, encefalopatia e coma. Estas reações são reversíveis, e geralmente relatadas por pacientes com distúrbios renais, ou com outros fatores predisponentes (</w:t>
      </w:r>
      <w:r>
        <w:rPr>
          <w:sz w:val="20"/>
          <w:szCs w:val="20"/>
        </w:rPr>
        <w:t>ver Advertências e Precauções);</w:t>
      </w:r>
    </w:p>
    <w:p w14:paraId="0A84CF12" w14:textId="77777777" w:rsidR="00936AA7" w:rsidRPr="00846B20" w:rsidRDefault="00936AA7" w:rsidP="00936AA7">
      <w:pPr>
        <w:pStyle w:val="Default"/>
        <w:spacing w:line="280" w:lineRule="atLeast"/>
        <w:jc w:val="both"/>
        <w:rPr>
          <w:sz w:val="20"/>
          <w:szCs w:val="20"/>
        </w:rPr>
      </w:pPr>
      <w:r>
        <w:rPr>
          <w:sz w:val="20"/>
          <w:szCs w:val="20"/>
        </w:rPr>
        <w:t>- hepatite, icterícia;</w:t>
      </w:r>
    </w:p>
    <w:p w14:paraId="2408A5D4" w14:textId="77777777" w:rsidR="00936AA7" w:rsidRPr="00846B20" w:rsidRDefault="00936AA7" w:rsidP="00936AA7">
      <w:pPr>
        <w:pStyle w:val="Default"/>
        <w:spacing w:line="280" w:lineRule="atLeast"/>
        <w:jc w:val="both"/>
        <w:rPr>
          <w:sz w:val="20"/>
          <w:szCs w:val="20"/>
        </w:rPr>
      </w:pPr>
      <w:r w:rsidRPr="00846B20">
        <w:rPr>
          <w:sz w:val="20"/>
          <w:szCs w:val="20"/>
        </w:rPr>
        <w:t>- insuficiência renal aguda, dor renal. Esta última reação pode estar associada com insuficiência renal.</w:t>
      </w:r>
    </w:p>
    <w:p w14:paraId="7ACE8A02" w14:textId="77777777" w:rsidR="00936AA7" w:rsidRPr="00853722" w:rsidRDefault="00936AA7" w:rsidP="00936AA7">
      <w:pPr>
        <w:pStyle w:val="Default"/>
        <w:spacing w:line="280" w:lineRule="atLeast"/>
        <w:jc w:val="both"/>
        <w:rPr>
          <w:sz w:val="20"/>
          <w:szCs w:val="20"/>
        </w:rPr>
      </w:pPr>
    </w:p>
    <w:p w14:paraId="444DE7F4" w14:textId="77777777" w:rsidR="00F237F6" w:rsidRPr="00F237F6" w:rsidRDefault="00F237F6" w:rsidP="00F237F6">
      <w:pPr>
        <w:pStyle w:val="Default"/>
        <w:rPr>
          <w:b/>
          <w:bCs/>
          <w:sz w:val="20"/>
          <w:szCs w:val="20"/>
        </w:rPr>
      </w:pPr>
      <w:r w:rsidRPr="00F237F6">
        <w:rPr>
          <w:b/>
          <w:bCs/>
          <w:sz w:val="20"/>
          <w:szCs w:val="20"/>
        </w:rPr>
        <w:t xml:space="preserve">Em casos de eventos adversos, notifique pelo Sistema </w:t>
      </w:r>
      <w:proofErr w:type="spellStart"/>
      <w:r w:rsidRPr="00F237F6">
        <w:rPr>
          <w:b/>
          <w:bCs/>
          <w:sz w:val="20"/>
          <w:szCs w:val="20"/>
        </w:rPr>
        <w:t>VigiMed</w:t>
      </w:r>
      <w:proofErr w:type="spellEnd"/>
      <w:r w:rsidRPr="00F237F6">
        <w:rPr>
          <w:b/>
          <w:bCs/>
          <w:sz w:val="20"/>
          <w:szCs w:val="20"/>
        </w:rPr>
        <w:t>, disponível no Portal da Anvisa.</w:t>
      </w:r>
    </w:p>
    <w:p w14:paraId="4428EB5A" w14:textId="77777777" w:rsidR="00936AA7" w:rsidRDefault="00936AA7" w:rsidP="00936AA7">
      <w:pPr>
        <w:pStyle w:val="Default"/>
        <w:spacing w:line="280" w:lineRule="atLeast"/>
        <w:jc w:val="both"/>
        <w:rPr>
          <w:b/>
          <w:bCs/>
          <w:sz w:val="20"/>
          <w:szCs w:val="20"/>
        </w:rPr>
      </w:pPr>
    </w:p>
    <w:p w14:paraId="70D9B30F" w14:textId="77777777" w:rsidR="00936AA7" w:rsidRPr="00853722" w:rsidRDefault="00936AA7" w:rsidP="00936AA7">
      <w:pPr>
        <w:pStyle w:val="Default"/>
        <w:spacing w:line="280" w:lineRule="atLeast"/>
        <w:jc w:val="both"/>
        <w:rPr>
          <w:sz w:val="20"/>
          <w:szCs w:val="20"/>
        </w:rPr>
      </w:pPr>
      <w:r w:rsidRPr="00853722">
        <w:rPr>
          <w:b/>
          <w:bCs/>
          <w:sz w:val="20"/>
          <w:szCs w:val="20"/>
        </w:rPr>
        <w:t>10. SUPERDOSE</w:t>
      </w:r>
    </w:p>
    <w:p w14:paraId="6AB73EB5" w14:textId="77777777" w:rsidR="00936AA7" w:rsidRPr="00853722" w:rsidRDefault="00936AA7" w:rsidP="00936AA7">
      <w:pPr>
        <w:pStyle w:val="Default"/>
        <w:spacing w:line="280" w:lineRule="atLeast"/>
        <w:jc w:val="both"/>
        <w:rPr>
          <w:sz w:val="20"/>
          <w:szCs w:val="20"/>
        </w:rPr>
      </w:pPr>
      <w:r w:rsidRPr="00853722">
        <w:rPr>
          <w:b/>
          <w:bCs/>
          <w:sz w:val="20"/>
          <w:szCs w:val="20"/>
        </w:rPr>
        <w:t>Sintomas e sinais:</w:t>
      </w:r>
    </w:p>
    <w:p w14:paraId="12ED9420" w14:textId="77777777" w:rsidR="00936AA7" w:rsidRPr="00853722" w:rsidRDefault="00936AA7" w:rsidP="00936AA7">
      <w:pPr>
        <w:pStyle w:val="Default"/>
        <w:spacing w:line="280" w:lineRule="atLeast"/>
        <w:jc w:val="both"/>
        <w:rPr>
          <w:sz w:val="20"/>
          <w:szCs w:val="20"/>
        </w:rPr>
      </w:pPr>
      <w:r w:rsidRPr="00853722">
        <w:rPr>
          <w:sz w:val="20"/>
          <w:szCs w:val="20"/>
        </w:rPr>
        <w:t xml:space="preserve">O aciclovir é apenas parcialmente absorvido no trato gastrintestinal. É provável que não ocorram efeitos tóxicos se uma dose de até 20 g de </w:t>
      </w:r>
      <w:r w:rsidRPr="008E4C0C">
        <w:rPr>
          <w:bCs/>
          <w:sz w:val="20"/>
          <w:szCs w:val="20"/>
        </w:rPr>
        <w:t>HERVIRAX</w:t>
      </w:r>
      <w:r>
        <w:rPr>
          <w:bCs/>
          <w:sz w:val="20"/>
          <w:szCs w:val="20"/>
        </w:rPr>
        <w:t xml:space="preserve"> </w:t>
      </w:r>
      <w:r w:rsidRPr="00853722">
        <w:rPr>
          <w:sz w:val="20"/>
          <w:szCs w:val="20"/>
        </w:rPr>
        <w:t>for tomada em uma única ocasião. Acidentalmente, superdoses de aciclovir oral repetidas por vários dias foram relacionadas a efeitos gastrintestinais (como náuseas e vômitos) e neurológi</w:t>
      </w:r>
      <w:r>
        <w:rPr>
          <w:sz w:val="20"/>
          <w:szCs w:val="20"/>
        </w:rPr>
        <w:t>cos (dor de cabeça e confusão).</w:t>
      </w:r>
    </w:p>
    <w:p w14:paraId="3F585875" w14:textId="77777777" w:rsidR="00936AA7" w:rsidRPr="00853722" w:rsidRDefault="00936AA7" w:rsidP="00936AA7">
      <w:pPr>
        <w:pStyle w:val="Default"/>
        <w:spacing w:line="280" w:lineRule="atLeast"/>
        <w:jc w:val="both"/>
        <w:rPr>
          <w:sz w:val="20"/>
          <w:szCs w:val="20"/>
        </w:rPr>
      </w:pPr>
      <w:r w:rsidRPr="00853722">
        <w:rPr>
          <w:b/>
          <w:bCs/>
          <w:sz w:val="20"/>
          <w:szCs w:val="20"/>
        </w:rPr>
        <w:t>Tratamento:</w:t>
      </w:r>
    </w:p>
    <w:p w14:paraId="3B464943" w14:textId="77777777" w:rsidR="00936AA7" w:rsidRPr="00853722" w:rsidRDefault="00936AA7" w:rsidP="00936AA7">
      <w:pPr>
        <w:pStyle w:val="Default"/>
        <w:spacing w:line="280" w:lineRule="atLeast"/>
        <w:jc w:val="both"/>
        <w:rPr>
          <w:sz w:val="20"/>
          <w:szCs w:val="20"/>
        </w:rPr>
      </w:pPr>
      <w:r w:rsidRPr="00853722">
        <w:rPr>
          <w:sz w:val="20"/>
          <w:szCs w:val="20"/>
        </w:rPr>
        <w:t>Os pacientes devem ser observados cuidadosamente para os sinais de toxicidade. A hemodiálise aumenta significativamente a remoção de aciclovir do sangue, e pode ser considerada uma opção de tratamento em event</w:t>
      </w:r>
      <w:r>
        <w:rPr>
          <w:sz w:val="20"/>
          <w:szCs w:val="20"/>
        </w:rPr>
        <w:t>os de superdosagem sintomática.</w:t>
      </w:r>
    </w:p>
    <w:p w14:paraId="12755121" w14:textId="77777777" w:rsidR="00936AA7" w:rsidRDefault="00936AA7" w:rsidP="00936AA7">
      <w:pPr>
        <w:pStyle w:val="Default"/>
        <w:spacing w:line="280" w:lineRule="atLeast"/>
        <w:jc w:val="both"/>
        <w:rPr>
          <w:b/>
          <w:bCs/>
          <w:sz w:val="20"/>
          <w:szCs w:val="20"/>
        </w:rPr>
      </w:pPr>
    </w:p>
    <w:p w14:paraId="1BB25117" w14:textId="3A479804" w:rsidR="00936AA7" w:rsidRDefault="00936AA7" w:rsidP="00936AA7">
      <w:pPr>
        <w:pStyle w:val="Default"/>
        <w:spacing w:line="280" w:lineRule="atLeast"/>
        <w:jc w:val="both"/>
        <w:rPr>
          <w:b/>
          <w:bCs/>
          <w:sz w:val="20"/>
          <w:szCs w:val="20"/>
        </w:rPr>
      </w:pPr>
      <w:r w:rsidRPr="00853722">
        <w:rPr>
          <w:b/>
          <w:bCs/>
          <w:sz w:val="20"/>
          <w:szCs w:val="20"/>
        </w:rPr>
        <w:t>Em caso de intoxicação, ligue para 0800 722 6001, se você precisar de mais orientações.</w:t>
      </w:r>
    </w:p>
    <w:p w14:paraId="679F91AA" w14:textId="77777777" w:rsidR="00C217AF" w:rsidRPr="00853722" w:rsidRDefault="00C217AF" w:rsidP="00936AA7">
      <w:pPr>
        <w:pStyle w:val="Default"/>
        <w:spacing w:line="280" w:lineRule="atLeast"/>
        <w:jc w:val="both"/>
        <w:rPr>
          <w:b/>
          <w:bCs/>
          <w:sz w:val="20"/>
          <w:szCs w:val="20"/>
        </w:rPr>
      </w:pPr>
    </w:p>
    <w:p w14:paraId="22DDA86A" w14:textId="77777777" w:rsidR="00936AA7" w:rsidRPr="00853722" w:rsidRDefault="00936AA7" w:rsidP="00936AA7">
      <w:pPr>
        <w:autoSpaceDE w:val="0"/>
        <w:autoSpaceDN w:val="0"/>
        <w:adjustRightInd w:val="0"/>
        <w:spacing w:line="280" w:lineRule="atLeast"/>
        <w:jc w:val="both"/>
        <w:rPr>
          <w:b/>
          <w:bCs/>
          <w:sz w:val="20"/>
          <w:szCs w:val="20"/>
        </w:rPr>
      </w:pPr>
      <w:r w:rsidRPr="00853722">
        <w:rPr>
          <w:b/>
          <w:bCs/>
          <w:sz w:val="20"/>
          <w:szCs w:val="20"/>
        </w:rPr>
        <w:t>DIZERES LEGAIS</w:t>
      </w:r>
    </w:p>
    <w:p w14:paraId="2C92A1CE" w14:textId="77777777" w:rsidR="00936AA7" w:rsidRPr="00853722" w:rsidRDefault="00936AA7" w:rsidP="00936AA7">
      <w:pPr>
        <w:spacing w:line="280" w:lineRule="atLeast"/>
        <w:jc w:val="both"/>
        <w:rPr>
          <w:sz w:val="20"/>
          <w:szCs w:val="20"/>
        </w:rPr>
      </w:pPr>
      <w:r w:rsidRPr="00853722">
        <w:rPr>
          <w:sz w:val="20"/>
          <w:szCs w:val="20"/>
        </w:rPr>
        <w:t>M.S. 1.4107.0018</w:t>
      </w:r>
    </w:p>
    <w:p w14:paraId="105637A0" w14:textId="77777777" w:rsidR="00936AA7" w:rsidRPr="00D12ADC" w:rsidRDefault="00936AA7" w:rsidP="00936AA7">
      <w:pPr>
        <w:spacing w:line="280" w:lineRule="atLeast"/>
        <w:jc w:val="both"/>
        <w:rPr>
          <w:sz w:val="20"/>
          <w:szCs w:val="20"/>
        </w:rPr>
      </w:pPr>
      <w:r w:rsidRPr="00D12ADC">
        <w:rPr>
          <w:sz w:val="20"/>
          <w:szCs w:val="20"/>
        </w:rPr>
        <w:t xml:space="preserve">Farm. Resp.: </w:t>
      </w:r>
      <w:r>
        <w:rPr>
          <w:sz w:val="20"/>
          <w:szCs w:val="20"/>
        </w:rPr>
        <w:t>Geraldo Vinícius Elias- CRF/MG-13.661.</w:t>
      </w:r>
    </w:p>
    <w:p w14:paraId="56A0BC28" w14:textId="6FCDB433" w:rsidR="00936AA7" w:rsidRDefault="00936AA7" w:rsidP="00936AA7">
      <w:pPr>
        <w:autoSpaceDE w:val="0"/>
        <w:autoSpaceDN w:val="0"/>
        <w:adjustRightInd w:val="0"/>
        <w:spacing w:line="280" w:lineRule="atLeast"/>
        <w:jc w:val="both"/>
      </w:pPr>
    </w:p>
    <w:p w14:paraId="6F5F2BDC" w14:textId="427E2C99" w:rsidR="00936AA7" w:rsidRDefault="00D3447E" w:rsidP="00936AA7">
      <w:pPr>
        <w:autoSpaceDE w:val="0"/>
        <w:autoSpaceDN w:val="0"/>
        <w:adjustRightInd w:val="0"/>
        <w:spacing w:line="280" w:lineRule="atLeast"/>
        <w:jc w:val="both"/>
      </w:pPr>
      <w:r w:rsidRPr="00D3447E">
        <w:rPr>
          <w:rFonts w:ascii="Calibri" w:eastAsia="Calibri" w:hAnsi="Calibri"/>
          <w:sz w:val="22"/>
          <w:szCs w:val="22"/>
          <w:lang w:eastAsia="en-US"/>
        </w:rPr>
        <w:object w:dxaOrig="5635" w:dyaOrig="2803" w14:anchorId="4DFEC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81.25pt;height:136.5pt" o:ole="">
            <v:imagedata r:id="rId10" o:title=""/>
          </v:shape>
          <o:OLEObject Type="Embed" ProgID="CorelDraw.Graphic.17" ShapeID="_x0000_i1027" DrawAspect="Content" ObjectID="_1779281114" r:id="rId11"/>
        </w:object>
      </w:r>
    </w:p>
    <w:p w14:paraId="31229541" w14:textId="54C36B42" w:rsidR="00936AA7" w:rsidRDefault="00936AA7" w:rsidP="00936AA7">
      <w:pPr>
        <w:autoSpaceDE w:val="0"/>
        <w:autoSpaceDN w:val="0"/>
        <w:adjustRightInd w:val="0"/>
        <w:spacing w:line="280" w:lineRule="atLeast"/>
        <w:jc w:val="both"/>
        <w:rPr>
          <w:noProof/>
          <w:sz w:val="20"/>
          <w:szCs w:val="20"/>
        </w:rPr>
      </w:pPr>
    </w:p>
    <w:p w14:paraId="57479F47" w14:textId="2F4407B3" w:rsidR="00632954" w:rsidRPr="005F74A2" w:rsidRDefault="00936AA7" w:rsidP="005F74A2">
      <w:pPr>
        <w:autoSpaceDE w:val="0"/>
        <w:autoSpaceDN w:val="0"/>
        <w:adjustRightInd w:val="0"/>
        <w:spacing w:line="280" w:lineRule="atLeast"/>
        <w:jc w:val="both"/>
        <w:rPr>
          <w:b/>
          <w:bCs/>
          <w:sz w:val="20"/>
          <w:szCs w:val="20"/>
        </w:rPr>
      </w:pPr>
      <w:r>
        <w:rPr>
          <w:b/>
          <w:bCs/>
          <w:sz w:val="20"/>
          <w:szCs w:val="20"/>
        </w:rPr>
        <w:t>VENDA SOB PRESCRIÇÃO MÉDIC</w:t>
      </w:r>
    </w:p>
    <w:sectPr w:rsidR="00632954" w:rsidRPr="005F74A2" w:rsidSect="005F74A2">
      <w:headerReference w:type="default" r:id="rId12"/>
      <w:footerReference w:type="default" r:id="rId13"/>
      <w:footerReference w:type="first" r:id="rId14"/>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10833" w14:textId="77777777" w:rsidR="00DA74DF" w:rsidRDefault="00DA74DF">
      <w:r>
        <w:separator/>
      </w:r>
    </w:p>
  </w:endnote>
  <w:endnote w:type="continuationSeparator" w:id="0">
    <w:p w14:paraId="1B71A832" w14:textId="77777777" w:rsidR="00DA74DF" w:rsidRDefault="00DA7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132D9" w14:textId="77777777" w:rsidR="00DA74DF" w:rsidRPr="003178D2" w:rsidRDefault="00DA74DF">
    <w:pPr>
      <w:pStyle w:val="Rodap"/>
      <w:rPr>
        <w:sz w:val="20"/>
        <w:szCs w:val="20"/>
      </w:rPr>
    </w:pPr>
    <w:r>
      <w:rPr>
        <w:sz w:val="20"/>
        <w:szCs w:val="20"/>
      </w:rPr>
      <w:t>HERVIRAX_COMP_VPS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7203B" w14:textId="77777777" w:rsidR="00DA74DF" w:rsidRPr="00B732D5" w:rsidRDefault="00DA74DF" w:rsidP="00DC1861">
    <w:pPr>
      <w:pStyle w:val="Rodap"/>
      <w:rPr>
        <w:sz w:val="20"/>
        <w:szCs w:val="20"/>
      </w:rPr>
    </w:pPr>
    <w:r>
      <w:rPr>
        <w:sz w:val="20"/>
        <w:szCs w:val="20"/>
      </w:rPr>
      <w:t>HERVIRAX_COMP_VP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7FB71" w14:textId="77777777" w:rsidR="00DA74DF" w:rsidRPr="00C008DA" w:rsidRDefault="00DA74DF" w:rsidP="00DC1861">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0F296" w14:textId="77777777" w:rsidR="00DA74DF" w:rsidRPr="007F4C1E" w:rsidRDefault="00DA74DF" w:rsidP="00DC186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09D00" w14:textId="77777777" w:rsidR="00DA74DF" w:rsidRDefault="00DA74DF">
      <w:r>
        <w:separator/>
      </w:r>
    </w:p>
  </w:footnote>
  <w:footnote w:type="continuationSeparator" w:id="0">
    <w:p w14:paraId="0475967C" w14:textId="77777777" w:rsidR="00DA74DF" w:rsidRDefault="00DA7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9D855" w14:textId="227FF286" w:rsidR="005F74A2" w:rsidRDefault="005F74A2">
    <w:pPr>
      <w:pStyle w:val="Cabealho"/>
    </w:pPr>
    <w:r>
      <w:rPr>
        <w:noProof/>
      </w:rPr>
      <w:drawing>
        <wp:anchor distT="0" distB="0" distL="114300" distR="114300" simplePos="0" relativeHeight="251673600" behindDoc="0" locked="0" layoutInCell="1" allowOverlap="1" wp14:anchorId="2187C5F0" wp14:editId="00A6CCE8">
          <wp:simplePos x="0" y="0"/>
          <wp:positionH relativeFrom="column">
            <wp:posOffset>4314825</wp:posOffset>
          </wp:positionH>
          <wp:positionV relativeFrom="paragraph">
            <wp:posOffset>-162560</wp:posOffset>
          </wp:positionV>
          <wp:extent cx="1731645" cy="457200"/>
          <wp:effectExtent l="0" t="0" r="1905" b="0"/>
          <wp:wrapThrough wrapText="bothSides">
            <wp:wrapPolygon edited="0">
              <wp:start x="1901" y="0"/>
              <wp:lineTo x="0" y="3600"/>
              <wp:lineTo x="0" y="18000"/>
              <wp:lineTo x="1663" y="20700"/>
              <wp:lineTo x="14733" y="20700"/>
              <wp:lineTo x="20911" y="14400"/>
              <wp:lineTo x="21386" y="3600"/>
              <wp:lineTo x="20911" y="2700"/>
              <wp:lineTo x="16158" y="0"/>
              <wp:lineTo x="1901" y="0"/>
            </wp:wrapPolygon>
          </wp:wrapThrough>
          <wp:docPr id="90899325" name="Imagem 90899325" descr="Placa azul com letras brancas em fundo pre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541335" name="Imagem 469541335" descr="Placa azul com letras brancas em fundo pre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645" cy="457200"/>
                  </a:xfrm>
                  <a:prstGeom prst="rect">
                    <a:avLst/>
                  </a:prstGeom>
                  <a:noFill/>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C8F1C" w14:textId="59C1F511" w:rsidR="00537F1A" w:rsidRDefault="005F74A2" w:rsidP="005F74A2">
    <w:pPr>
      <w:pStyle w:val="Cabealho"/>
      <w:tabs>
        <w:tab w:val="left" w:pos="9300"/>
        <w:tab w:val="right" w:pos="12756"/>
      </w:tabs>
    </w:pPr>
    <w:r>
      <w:rPr>
        <w:noProof/>
      </w:rPr>
      <w:drawing>
        <wp:anchor distT="0" distB="0" distL="114300" distR="114300" simplePos="0" relativeHeight="251671552" behindDoc="0" locked="0" layoutInCell="1" allowOverlap="1" wp14:anchorId="6D353CFA" wp14:editId="6101BD0D">
          <wp:simplePos x="0" y="0"/>
          <wp:positionH relativeFrom="column">
            <wp:posOffset>4724400</wp:posOffset>
          </wp:positionH>
          <wp:positionV relativeFrom="paragraph">
            <wp:posOffset>27940</wp:posOffset>
          </wp:positionV>
          <wp:extent cx="1731645" cy="457200"/>
          <wp:effectExtent l="0" t="0" r="1905" b="0"/>
          <wp:wrapThrough wrapText="bothSides">
            <wp:wrapPolygon edited="0">
              <wp:start x="1901" y="0"/>
              <wp:lineTo x="0" y="3600"/>
              <wp:lineTo x="0" y="18000"/>
              <wp:lineTo x="1663" y="20700"/>
              <wp:lineTo x="14733" y="20700"/>
              <wp:lineTo x="20911" y="14400"/>
              <wp:lineTo x="21386" y="3600"/>
              <wp:lineTo x="20911" y="2700"/>
              <wp:lineTo x="16158" y="0"/>
              <wp:lineTo x="1901" y="0"/>
            </wp:wrapPolygon>
          </wp:wrapThrough>
          <wp:docPr id="469541335" name="Imagem 469541335" descr="Placa azul com letras brancas em fundo pre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541335" name="Imagem 469541335" descr="Placa azul com letras brancas em fundo pre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645" cy="457200"/>
                  </a:xfrm>
                  <a:prstGeom prst="rect">
                    <a:avLst/>
                  </a:prstGeom>
                  <a:noFill/>
                </pic:spPr>
              </pic:pic>
            </a:graphicData>
          </a:graphic>
          <wp14:sizeRelV relativeFrom="margin">
            <wp14:pctHeight>0</wp14:pctHeight>
          </wp14:sizeRelV>
        </wp:anchor>
      </w:drawing>
    </w:r>
    <w:r w:rsidR="00537F1A">
      <w:tab/>
    </w:r>
    <w:r w:rsidR="00537F1A">
      <w:tab/>
    </w:r>
    <w:r w:rsidR="00537F1A">
      <w:tab/>
    </w:r>
    <w:r w:rsidR="00537F1A">
      <w:tab/>
    </w:r>
    <w:r w:rsidR="00537F1A">
      <w:rPr>
        <w:noProof/>
      </w:rPr>
      <w:drawing>
        <wp:anchor distT="0" distB="0" distL="114300" distR="114300" simplePos="0" relativeHeight="251669504" behindDoc="0" locked="0" layoutInCell="1" allowOverlap="1" wp14:anchorId="00D35CB2" wp14:editId="14CFC4E7">
          <wp:simplePos x="0" y="0"/>
          <wp:positionH relativeFrom="column">
            <wp:posOffset>8214360</wp:posOffset>
          </wp:positionH>
          <wp:positionV relativeFrom="paragraph">
            <wp:posOffset>-114935</wp:posOffset>
          </wp:positionV>
          <wp:extent cx="1731645" cy="457200"/>
          <wp:effectExtent l="0" t="0" r="1905" b="0"/>
          <wp:wrapThrough wrapText="bothSides">
            <wp:wrapPolygon edited="0">
              <wp:start x="1901" y="0"/>
              <wp:lineTo x="0" y="3600"/>
              <wp:lineTo x="0" y="18000"/>
              <wp:lineTo x="1663" y="20700"/>
              <wp:lineTo x="14733" y="20700"/>
              <wp:lineTo x="20911" y="14400"/>
              <wp:lineTo x="21386" y="3600"/>
              <wp:lineTo x="20911" y="2700"/>
              <wp:lineTo x="16158" y="0"/>
              <wp:lineTo x="1901" y="0"/>
            </wp:wrapPolygon>
          </wp:wrapThrough>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645" cy="45720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AA7"/>
    <w:rsid w:val="00083CE1"/>
    <w:rsid w:val="00090BE8"/>
    <w:rsid w:val="000D69FD"/>
    <w:rsid w:val="000F43D4"/>
    <w:rsid w:val="001972F4"/>
    <w:rsid w:val="001A076B"/>
    <w:rsid w:val="001A74BC"/>
    <w:rsid w:val="001C07D4"/>
    <w:rsid w:val="001D44DB"/>
    <w:rsid w:val="001D6990"/>
    <w:rsid w:val="002034F6"/>
    <w:rsid w:val="00205FDE"/>
    <w:rsid w:val="00272F48"/>
    <w:rsid w:val="0028663D"/>
    <w:rsid w:val="00333AB1"/>
    <w:rsid w:val="003613E7"/>
    <w:rsid w:val="003721F3"/>
    <w:rsid w:val="003F77E4"/>
    <w:rsid w:val="00443582"/>
    <w:rsid w:val="004448E1"/>
    <w:rsid w:val="004764C5"/>
    <w:rsid w:val="0050185C"/>
    <w:rsid w:val="00537F1A"/>
    <w:rsid w:val="00554C76"/>
    <w:rsid w:val="00574010"/>
    <w:rsid w:val="00594055"/>
    <w:rsid w:val="005D3D74"/>
    <w:rsid w:val="005F404E"/>
    <w:rsid w:val="005F74A2"/>
    <w:rsid w:val="00610BDA"/>
    <w:rsid w:val="00624E92"/>
    <w:rsid w:val="00632954"/>
    <w:rsid w:val="006547DB"/>
    <w:rsid w:val="007307BA"/>
    <w:rsid w:val="0074392A"/>
    <w:rsid w:val="007C552E"/>
    <w:rsid w:val="0083262C"/>
    <w:rsid w:val="008C632D"/>
    <w:rsid w:val="008E16D1"/>
    <w:rsid w:val="00936AA7"/>
    <w:rsid w:val="00950538"/>
    <w:rsid w:val="009964A7"/>
    <w:rsid w:val="009D1ACD"/>
    <w:rsid w:val="009D3E7B"/>
    <w:rsid w:val="009E6A26"/>
    <w:rsid w:val="009F46AD"/>
    <w:rsid w:val="00A17205"/>
    <w:rsid w:val="00A601F1"/>
    <w:rsid w:val="00A84FF6"/>
    <w:rsid w:val="00AB5EF6"/>
    <w:rsid w:val="00AB69BA"/>
    <w:rsid w:val="00AF0AFA"/>
    <w:rsid w:val="00B062B1"/>
    <w:rsid w:val="00B11096"/>
    <w:rsid w:val="00B1245A"/>
    <w:rsid w:val="00B17336"/>
    <w:rsid w:val="00B40381"/>
    <w:rsid w:val="00B63B58"/>
    <w:rsid w:val="00B674BC"/>
    <w:rsid w:val="00B7203F"/>
    <w:rsid w:val="00B952AC"/>
    <w:rsid w:val="00BB10D5"/>
    <w:rsid w:val="00C1722A"/>
    <w:rsid w:val="00C217AF"/>
    <w:rsid w:val="00C645E2"/>
    <w:rsid w:val="00C65DDB"/>
    <w:rsid w:val="00D1445E"/>
    <w:rsid w:val="00D211FC"/>
    <w:rsid w:val="00D22782"/>
    <w:rsid w:val="00D3447E"/>
    <w:rsid w:val="00D616D0"/>
    <w:rsid w:val="00D71338"/>
    <w:rsid w:val="00D71B50"/>
    <w:rsid w:val="00D95DD7"/>
    <w:rsid w:val="00DA74DF"/>
    <w:rsid w:val="00DC1861"/>
    <w:rsid w:val="00EB07AC"/>
    <w:rsid w:val="00F237F6"/>
    <w:rsid w:val="00F71341"/>
    <w:rsid w:val="00F92B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C4F7BE"/>
  <w15:chartTrackingRefBased/>
  <w15:docId w15:val="{40D88F1B-0FB0-41F9-9F57-602BAF91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AA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36AA7"/>
    <w:pPr>
      <w:tabs>
        <w:tab w:val="center" w:pos="4252"/>
        <w:tab w:val="right" w:pos="8504"/>
      </w:tabs>
    </w:pPr>
  </w:style>
  <w:style w:type="character" w:customStyle="1" w:styleId="CabealhoChar">
    <w:name w:val="Cabeçalho Char"/>
    <w:basedOn w:val="Fontepargpadro"/>
    <w:link w:val="Cabealho"/>
    <w:rsid w:val="00936AA7"/>
    <w:rPr>
      <w:rFonts w:ascii="Times New Roman" w:eastAsia="Times New Roman" w:hAnsi="Times New Roman" w:cs="Times New Roman"/>
      <w:sz w:val="24"/>
      <w:szCs w:val="24"/>
      <w:lang w:eastAsia="pt-BR"/>
    </w:rPr>
  </w:style>
  <w:style w:type="paragraph" w:styleId="Rodap">
    <w:name w:val="footer"/>
    <w:basedOn w:val="Normal"/>
    <w:link w:val="RodapChar"/>
    <w:rsid w:val="00936AA7"/>
    <w:pPr>
      <w:tabs>
        <w:tab w:val="center" w:pos="4252"/>
        <w:tab w:val="right" w:pos="8504"/>
      </w:tabs>
    </w:pPr>
  </w:style>
  <w:style w:type="character" w:customStyle="1" w:styleId="RodapChar">
    <w:name w:val="Rodapé Char"/>
    <w:basedOn w:val="Fontepargpadro"/>
    <w:link w:val="Rodap"/>
    <w:rsid w:val="00936AA7"/>
    <w:rPr>
      <w:rFonts w:ascii="Times New Roman" w:eastAsia="Times New Roman" w:hAnsi="Times New Roman" w:cs="Times New Roman"/>
      <w:sz w:val="24"/>
      <w:szCs w:val="24"/>
      <w:lang w:eastAsia="pt-BR"/>
    </w:rPr>
  </w:style>
  <w:style w:type="paragraph" w:customStyle="1" w:styleId="Default">
    <w:name w:val="Default"/>
    <w:rsid w:val="00936AA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NormalWeb">
    <w:name w:val="Normal (Web)"/>
    <w:basedOn w:val="Normal"/>
    <w:rsid w:val="00936AA7"/>
    <w:pPr>
      <w:spacing w:before="100" w:beforeAutospacing="1" w:after="100" w:afterAutospacing="1"/>
    </w:pPr>
  </w:style>
  <w:style w:type="character" w:customStyle="1" w:styleId="decs">
    <w:name w:val="decs"/>
    <w:rsid w:val="00936AA7"/>
  </w:style>
  <w:style w:type="character" w:styleId="Refdecomentrio">
    <w:name w:val="annotation reference"/>
    <w:rsid w:val="00936AA7"/>
    <w:rPr>
      <w:sz w:val="16"/>
      <w:szCs w:val="16"/>
    </w:rPr>
  </w:style>
  <w:style w:type="paragraph" w:styleId="Textodecomentrio">
    <w:name w:val="annotation text"/>
    <w:basedOn w:val="Normal"/>
    <w:link w:val="TextodecomentrioChar"/>
    <w:rsid w:val="00936AA7"/>
    <w:rPr>
      <w:sz w:val="20"/>
      <w:szCs w:val="20"/>
    </w:rPr>
  </w:style>
  <w:style w:type="character" w:customStyle="1" w:styleId="TextodecomentrioChar">
    <w:name w:val="Texto de comentário Char"/>
    <w:basedOn w:val="Fontepargpadro"/>
    <w:link w:val="Textodecomentrio"/>
    <w:rsid w:val="00936AA7"/>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936AA7"/>
    <w:rPr>
      <w:rFonts w:ascii="Segoe UI" w:hAnsi="Segoe UI" w:cs="Segoe UI"/>
      <w:sz w:val="18"/>
      <w:szCs w:val="18"/>
    </w:rPr>
  </w:style>
  <w:style w:type="character" w:customStyle="1" w:styleId="TextodebaloChar">
    <w:name w:val="Texto de balão Char"/>
    <w:basedOn w:val="Fontepargpadro"/>
    <w:link w:val="Textodebalo"/>
    <w:uiPriority w:val="99"/>
    <w:semiHidden/>
    <w:rsid w:val="00936AA7"/>
    <w:rPr>
      <w:rFonts w:ascii="Segoe UI" w:eastAsia="Times New Roman" w:hAnsi="Segoe UI" w:cs="Segoe UI"/>
      <w:sz w:val="18"/>
      <w:szCs w:val="18"/>
      <w:lang w:eastAsia="pt-BR"/>
    </w:rPr>
  </w:style>
  <w:style w:type="paragraph" w:styleId="Assuntodocomentrio">
    <w:name w:val="annotation subject"/>
    <w:basedOn w:val="Textodecomentrio"/>
    <w:next w:val="Textodecomentrio"/>
    <w:link w:val="AssuntodocomentrioChar"/>
    <w:uiPriority w:val="99"/>
    <w:semiHidden/>
    <w:unhideWhenUsed/>
    <w:rsid w:val="00DC1861"/>
    <w:rPr>
      <w:b/>
      <w:bCs/>
    </w:rPr>
  </w:style>
  <w:style w:type="character" w:customStyle="1" w:styleId="AssuntodocomentrioChar">
    <w:name w:val="Assunto do comentário Char"/>
    <w:basedOn w:val="TextodecomentrioChar"/>
    <w:link w:val="Assuntodocomentrio"/>
    <w:uiPriority w:val="99"/>
    <w:semiHidden/>
    <w:rsid w:val="00DC1861"/>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521681">
      <w:bodyDiv w:val="1"/>
      <w:marLeft w:val="0"/>
      <w:marRight w:val="0"/>
      <w:marTop w:val="0"/>
      <w:marBottom w:val="0"/>
      <w:divBdr>
        <w:top w:val="none" w:sz="0" w:space="0" w:color="auto"/>
        <w:left w:val="none" w:sz="0" w:space="0" w:color="auto"/>
        <w:bottom w:val="none" w:sz="0" w:space="0" w:color="auto"/>
        <w:right w:val="none" w:sz="0" w:space="0" w:color="auto"/>
      </w:divBdr>
    </w:div>
    <w:div w:id="909316204">
      <w:bodyDiv w:val="1"/>
      <w:marLeft w:val="0"/>
      <w:marRight w:val="0"/>
      <w:marTop w:val="0"/>
      <w:marBottom w:val="0"/>
      <w:divBdr>
        <w:top w:val="none" w:sz="0" w:space="0" w:color="auto"/>
        <w:left w:val="none" w:sz="0" w:space="0" w:color="auto"/>
        <w:bottom w:val="none" w:sz="0" w:space="0" w:color="auto"/>
        <w:right w:val="none" w:sz="0" w:space="0" w:color="auto"/>
      </w:divBdr>
    </w:div>
    <w:div w:id="913929367">
      <w:bodyDiv w:val="1"/>
      <w:marLeft w:val="0"/>
      <w:marRight w:val="0"/>
      <w:marTop w:val="0"/>
      <w:marBottom w:val="0"/>
      <w:divBdr>
        <w:top w:val="none" w:sz="0" w:space="0" w:color="auto"/>
        <w:left w:val="none" w:sz="0" w:space="0" w:color="auto"/>
        <w:bottom w:val="none" w:sz="0" w:space="0" w:color="auto"/>
        <w:right w:val="none" w:sz="0" w:space="0" w:color="auto"/>
      </w:divBdr>
    </w:div>
    <w:div w:id="973679896">
      <w:bodyDiv w:val="1"/>
      <w:marLeft w:val="0"/>
      <w:marRight w:val="0"/>
      <w:marTop w:val="0"/>
      <w:marBottom w:val="0"/>
      <w:divBdr>
        <w:top w:val="none" w:sz="0" w:space="0" w:color="auto"/>
        <w:left w:val="none" w:sz="0" w:space="0" w:color="auto"/>
        <w:bottom w:val="none" w:sz="0" w:space="0" w:color="auto"/>
        <w:right w:val="none" w:sz="0" w:space="0" w:color="auto"/>
      </w:divBdr>
    </w:div>
    <w:div w:id="201734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FEA0F-946A-4434-8E0B-4DDD0F2DF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8</Pages>
  <Words>3668</Words>
  <Characters>19809</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Pharlab</Company>
  <LinksUpToDate>false</LinksUpToDate>
  <CharactersWithSpaces>23431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Hervirax_Bula_Profissional</dc:title>
  <dc:subject/>
  <dc:creator>Raquel Salviano</dc:creator>
  <cp:keywords/>
  <dc:description/>
  <cp:lastModifiedBy>Sabrina Alves</cp:lastModifiedBy>
  <cp:revision>88</cp:revision>
  <cp:lastPrinted>2024-01-17T13:20:00Z</cp:lastPrinted>
  <dcterms:created xsi:type="dcterms:W3CDTF">2020-04-30T20:33:00Z</dcterms:created>
  <dcterms:modified xsi:type="dcterms:W3CDTF">2024-06-07T18:59:00Z</dcterms:modified>
</cp:coreProperties>
</file>